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FD" w:rsidRDefault="00651EFD" w:rsidP="00527E6C">
      <w:pPr>
        <w:pStyle w:val="Header"/>
        <w:rPr>
          <w:rFonts w:asciiTheme="minorHAnsi" w:hAnsiTheme="minorHAnsi"/>
          <w:b/>
          <w:sz w:val="20"/>
        </w:rPr>
      </w:pPr>
      <w:bookmarkStart w:id="0" w:name="_Toc426632922"/>
      <w:bookmarkStart w:id="1" w:name="_Toc430826826"/>
      <w:bookmarkStart w:id="2" w:name="_Toc432758974"/>
    </w:p>
    <w:p w:rsidR="008D64E5" w:rsidRDefault="008D64E5" w:rsidP="00527E6C">
      <w:pPr>
        <w:pStyle w:val="Header"/>
        <w:rPr>
          <w:rFonts w:asciiTheme="minorHAnsi" w:hAnsiTheme="minorHAnsi"/>
          <w:b/>
          <w:sz w:val="20"/>
        </w:rPr>
      </w:pPr>
    </w:p>
    <w:p w:rsidR="008D64E5" w:rsidRDefault="008D64E5" w:rsidP="00527E6C">
      <w:pPr>
        <w:pStyle w:val="Header"/>
        <w:rPr>
          <w:rFonts w:asciiTheme="minorHAnsi" w:hAnsiTheme="minorHAnsi"/>
          <w:b/>
          <w:sz w:val="20"/>
        </w:rPr>
      </w:pPr>
    </w:p>
    <w:p w:rsidR="00527E6C" w:rsidRPr="00527E6C" w:rsidRDefault="00527E6C" w:rsidP="00527E6C">
      <w:pPr>
        <w:pStyle w:val="Header"/>
        <w:rPr>
          <w:b/>
        </w:rPr>
      </w:pPr>
      <w:r w:rsidRPr="00527E6C">
        <w:rPr>
          <w:rFonts w:asciiTheme="minorHAnsi" w:hAnsiTheme="minorHAnsi"/>
          <w:b/>
          <w:sz w:val="20"/>
        </w:rPr>
        <w:t xml:space="preserve">Załącznik  nr 1 do instrukcji wypełniania wniosku o dofinansowanie </w:t>
      </w:r>
      <w:r w:rsidRPr="00527E6C">
        <w:rPr>
          <w:rFonts w:ascii="Calibri" w:hAnsi="Calibri" w:cs="Arial"/>
          <w:b/>
          <w:sz w:val="20"/>
        </w:rPr>
        <w:t xml:space="preserve"> </w:t>
      </w:r>
      <w:r w:rsidRPr="00527E6C">
        <w:rPr>
          <w:rFonts w:asciiTheme="minorHAnsi" w:hAnsiTheme="minorHAnsi"/>
          <w:b/>
          <w:sz w:val="20"/>
        </w:rPr>
        <w:t>RPDS.03.01.00-IP.01-02-388/20</w:t>
      </w:r>
    </w:p>
    <w:p w:rsidR="00527E6C" w:rsidRDefault="00527E6C" w:rsidP="00C55C4D">
      <w:pPr>
        <w:tabs>
          <w:tab w:val="left" w:pos="2490"/>
          <w:tab w:val="center" w:pos="4536"/>
        </w:tabs>
        <w:autoSpaceDE w:val="0"/>
        <w:autoSpaceDN w:val="0"/>
        <w:adjustRightInd w:val="0"/>
        <w:spacing w:line="240" w:lineRule="auto"/>
        <w:rPr>
          <w:rFonts w:asciiTheme="minorHAnsi" w:hAnsiTheme="minorHAnsi" w:cs="Calibri"/>
          <w:b/>
          <w:sz w:val="24"/>
          <w:szCs w:val="24"/>
        </w:rPr>
      </w:pPr>
    </w:p>
    <w:p w:rsidR="00151BAD" w:rsidRPr="00AB7A96" w:rsidRDefault="00C55C4D" w:rsidP="00C55C4D">
      <w:pPr>
        <w:tabs>
          <w:tab w:val="left" w:pos="2490"/>
          <w:tab w:val="center" w:pos="4536"/>
        </w:tabs>
        <w:autoSpaceDE w:val="0"/>
        <w:autoSpaceDN w:val="0"/>
        <w:adjustRightInd w:val="0"/>
        <w:spacing w:line="240" w:lineRule="auto"/>
        <w:rPr>
          <w:rFonts w:asciiTheme="minorHAnsi" w:hAnsiTheme="minorHAnsi" w:cs="Calibri"/>
          <w:b/>
          <w:sz w:val="24"/>
          <w:szCs w:val="24"/>
        </w:rPr>
      </w:pPr>
      <w:r w:rsidRPr="00C55C4D">
        <w:rPr>
          <w:rFonts w:asciiTheme="minorHAnsi" w:hAnsiTheme="minorHAnsi" w:cs="Calibri"/>
          <w:b/>
          <w:sz w:val="24"/>
          <w:szCs w:val="24"/>
        </w:rPr>
        <w:tab/>
      </w:r>
      <w:r w:rsidR="009D3C56" w:rsidRPr="00AB7A96">
        <w:rPr>
          <w:rFonts w:asciiTheme="minorHAnsi" w:hAnsiTheme="minorHAnsi" w:cs="Calibri"/>
          <w:b/>
          <w:sz w:val="24"/>
          <w:szCs w:val="24"/>
        </w:rPr>
        <w:t xml:space="preserve">Lista wskaźników na poziomie projektu </w:t>
      </w:r>
    </w:p>
    <w:p w:rsidR="002747B4" w:rsidRPr="00AB7A96" w:rsidRDefault="009D3C56" w:rsidP="00842135">
      <w:pPr>
        <w:jc w:val="center"/>
        <w:rPr>
          <w:rFonts w:asciiTheme="minorHAnsi" w:hAnsiTheme="minorHAnsi" w:cs="Arial"/>
          <w:sz w:val="24"/>
          <w:szCs w:val="24"/>
        </w:rPr>
      </w:pPr>
      <w:r w:rsidRPr="00AB7A96">
        <w:rPr>
          <w:rFonts w:asciiTheme="minorHAnsi" w:hAnsiTheme="minorHAnsi" w:cs="Calibri"/>
          <w:b/>
          <w:sz w:val="24"/>
          <w:szCs w:val="24"/>
        </w:rPr>
        <w:t xml:space="preserve">dla działania </w:t>
      </w:r>
      <w:r w:rsidR="00A603C0" w:rsidRPr="00AB7A96">
        <w:rPr>
          <w:rFonts w:asciiTheme="minorHAnsi" w:hAnsiTheme="minorHAnsi" w:cs="Calibri"/>
          <w:b/>
          <w:sz w:val="24"/>
          <w:szCs w:val="24"/>
        </w:rPr>
        <w:t>3.1.A</w:t>
      </w:r>
    </w:p>
    <w:p w:rsidR="002747B4" w:rsidRPr="00AB7A96" w:rsidRDefault="00A603C0" w:rsidP="00A603C0">
      <w:pPr>
        <w:tabs>
          <w:tab w:val="left" w:pos="530"/>
          <w:tab w:val="center" w:pos="4536"/>
        </w:tabs>
        <w:jc w:val="center"/>
        <w:rPr>
          <w:rFonts w:asciiTheme="minorHAnsi" w:hAnsiTheme="minorHAnsi" w:cs="Arial"/>
          <w:sz w:val="24"/>
          <w:szCs w:val="24"/>
        </w:rPr>
      </w:pPr>
      <w:r w:rsidRPr="00AB7A96">
        <w:rPr>
          <w:rFonts w:cs="Arial"/>
          <w:b/>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w:t>
      </w:r>
    </w:p>
    <w:p w:rsidR="009D3C56" w:rsidRPr="00AB7A96" w:rsidRDefault="00EA68D3" w:rsidP="00842135">
      <w:pPr>
        <w:jc w:val="center"/>
        <w:rPr>
          <w:rFonts w:asciiTheme="minorHAnsi" w:hAnsiTheme="minorHAnsi" w:cs="Arial"/>
          <w:b/>
          <w:sz w:val="24"/>
          <w:szCs w:val="24"/>
        </w:rPr>
      </w:pPr>
      <w:r w:rsidRPr="00AB7A96">
        <w:rPr>
          <w:rFonts w:asciiTheme="minorHAnsi" w:hAnsiTheme="minorHAnsi" w:cs="Calibri"/>
          <w:b/>
          <w:sz w:val="24"/>
          <w:szCs w:val="24"/>
        </w:rPr>
        <w:t>RPO WD 2014-2020</w:t>
      </w:r>
    </w:p>
    <w:p w:rsidR="00CF69D1" w:rsidRPr="00AB7A96" w:rsidRDefault="00CF69D1" w:rsidP="007650AC">
      <w:pPr>
        <w:autoSpaceDE w:val="0"/>
        <w:autoSpaceDN w:val="0"/>
        <w:spacing w:before="120" w:after="120" w:line="240" w:lineRule="auto"/>
        <w:jc w:val="both"/>
        <w:rPr>
          <w:rFonts w:asciiTheme="minorHAnsi" w:eastAsiaTheme="minorHAnsi" w:hAnsiTheme="minorHAnsi" w:cs="Calibri"/>
          <w:szCs w:val="22"/>
          <w:lang w:eastAsia="en-US"/>
        </w:rPr>
      </w:pPr>
    </w:p>
    <w:bookmarkEnd w:id="0"/>
    <w:bookmarkEnd w:id="1"/>
    <w:bookmarkEnd w:id="2"/>
    <w:p w:rsidR="00DF6D97" w:rsidRPr="00AB7A96"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AB7A96">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AB7A96" w:rsidRDefault="00DF6D97" w:rsidP="00DF6D97">
      <w:pPr>
        <w:autoSpaceDE w:val="0"/>
        <w:autoSpaceDN w:val="0"/>
        <w:spacing w:before="120" w:after="120" w:line="240" w:lineRule="auto"/>
        <w:jc w:val="both"/>
        <w:rPr>
          <w:rFonts w:asciiTheme="minorHAnsi" w:hAnsiTheme="minorHAnsi"/>
          <w:szCs w:val="22"/>
        </w:rPr>
      </w:pPr>
      <w:r w:rsidRPr="00AB7A96">
        <w:rPr>
          <w:rFonts w:asciiTheme="minorHAnsi" w:eastAsiaTheme="minorHAnsi" w:hAnsiTheme="minorHAnsi" w:cs="Calibri"/>
          <w:szCs w:val="22"/>
          <w:lang w:eastAsia="en-US"/>
        </w:rPr>
        <w:t xml:space="preserve">Wybór wskaźników projektu powinien być powiązany z typem realizowanego przedsięwzięcia </w:t>
      </w:r>
      <w:r w:rsidRPr="00AB7A96">
        <w:rPr>
          <w:rFonts w:asciiTheme="minorHAnsi" w:eastAsiaTheme="minorHAnsi" w:hAnsiTheme="minorHAnsi" w:cs="Calibri"/>
          <w:szCs w:val="22"/>
          <w:lang w:eastAsia="en-US"/>
        </w:rPr>
        <w:br/>
        <w:t xml:space="preserve">i planowanymi działaniami, które Wnioskodawca zamierza podjąć w ramach projektu. </w:t>
      </w:r>
      <w:r w:rsidRPr="00AB7A96">
        <w:rPr>
          <w:rFonts w:asciiTheme="minorHAnsi" w:eastAsiaTheme="minorHAnsi" w:hAnsiTheme="minorHAnsi" w:cs="Calibri"/>
          <w:bCs/>
          <w:szCs w:val="22"/>
          <w:lang w:eastAsia="en-US"/>
        </w:rPr>
        <w:t>Do celu głównego projektu Wnioskodawca powinien dobrać odpowiednie wskaźniki, produktu i rezultatu</w:t>
      </w:r>
      <w:r w:rsidRPr="00AB7A96">
        <w:rPr>
          <w:rFonts w:asciiTheme="minorHAnsi" w:eastAsiaTheme="minorHAnsi" w:hAnsiTheme="minorHAnsi" w:cs="Calibri"/>
          <w:szCs w:val="22"/>
          <w:lang w:eastAsia="en-US"/>
        </w:rPr>
        <w:t xml:space="preserve"> bezpośredniego. Muszą być logicznie powiązane z projektem i spójne. </w:t>
      </w:r>
    </w:p>
    <w:p w:rsidR="00DF6D97" w:rsidRPr="00AB7A96"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AB7A96">
        <w:rPr>
          <w:rFonts w:asciiTheme="minorHAnsi" w:hAnsiTheme="minorHAnsi"/>
          <w:szCs w:val="22"/>
        </w:rPr>
        <w:t>Każdy ze wskaźników powinien posiadać następujące cechy:</w:t>
      </w:r>
    </w:p>
    <w:p w:rsidR="00DF6D97" w:rsidRPr="00AB7A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AB7A96">
        <w:rPr>
          <w:rFonts w:asciiTheme="minorHAnsi" w:hAnsiTheme="minorHAnsi"/>
          <w:szCs w:val="22"/>
        </w:rPr>
        <w:t>adekwatność – wskaźnik powinien być dostosowany do charakteru projektu oraz oczekiwanych efektów związanych z jego realizacją;</w:t>
      </w:r>
    </w:p>
    <w:p w:rsidR="00DF6D97" w:rsidRPr="00AB7A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AB7A96">
        <w:rPr>
          <w:rFonts w:asciiTheme="minorHAnsi" w:hAnsiTheme="minorHAnsi"/>
          <w:szCs w:val="22"/>
        </w:rPr>
        <w:t>mierzalność – wskaźnik powinien być kwantyfikowalny, tj. wyrażony w wartościach liczbowych bądź finansowych;</w:t>
      </w:r>
    </w:p>
    <w:p w:rsidR="00DF6D97" w:rsidRPr="00AB7A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AB7A96">
        <w:rPr>
          <w:rFonts w:asciiTheme="minorHAnsi" w:hAnsiTheme="minorHAnsi"/>
          <w:szCs w:val="22"/>
        </w:rPr>
        <w:t>wiarygodność – wskaźnik powinien być zdefiniowany w taki sposób, aby jego weryfikacja nie powodowała utrudnień;</w:t>
      </w:r>
    </w:p>
    <w:p w:rsidR="00DF6D97" w:rsidRPr="00AB7A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AB7A96">
        <w:rPr>
          <w:rFonts w:asciiTheme="minorHAnsi" w:hAnsiTheme="minorHAnsi"/>
          <w:szCs w:val="22"/>
        </w:rPr>
        <w:t>dostępność – wskaźnik powinien być łatwy do określenia w wyniku realizacji projektu;</w:t>
      </w:r>
    </w:p>
    <w:p w:rsidR="00DF6D97" w:rsidRPr="00AB7A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AB7A96">
        <w:rPr>
          <w:rFonts w:asciiTheme="minorHAnsi" w:hAnsiTheme="minorHAnsi"/>
          <w:szCs w:val="22"/>
        </w:rPr>
        <w:t>określony w czasie – wartość wskaźnika powinna zostać określona w czasie, tj. określony rok osiągnięcia wartości docelowej wskaźnika oraz okres, w którym będzie mierzony wskaźnik</w:t>
      </w:r>
    </w:p>
    <w:p w:rsidR="008D64E5" w:rsidRPr="008D64E5" w:rsidRDefault="00DF6D97" w:rsidP="008D64E5">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AB7A96">
        <w:rPr>
          <w:rFonts w:asciiTheme="minorHAnsi" w:eastAsiaTheme="minorHAnsi" w:hAnsiTheme="minorHAnsi" w:cs="Calibri"/>
          <w:szCs w:val="22"/>
          <w:lang w:eastAsia="en-US"/>
        </w:rPr>
        <w:t>Odpowiednio we wniosku o dofinansowanie należy określić, w jaki sposób mierzona będzie realizacja cel</w:t>
      </w:r>
      <w:r w:rsidR="008D64E5">
        <w:rPr>
          <w:rFonts w:asciiTheme="minorHAnsi" w:eastAsiaTheme="minorHAnsi" w:hAnsiTheme="minorHAnsi" w:cs="Calibri"/>
          <w:szCs w:val="22"/>
          <w:lang w:eastAsia="en-US"/>
        </w:rPr>
        <w:t>u poprzez ustalenie wskaźników.</w:t>
      </w:r>
      <w:bookmarkStart w:id="3" w:name="_GoBack"/>
      <w:bookmarkEnd w:id="3"/>
    </w:p>
    <w:p w:rsidR="00DF6D97" w:rsidRPr="00AB7A96" w:rsidRDefault="00DF6D97" w:rsidP="00DF6D97">
      <w:pPr>
        <w:spacing w:before="120" w:after="120" w:line="240" w:lineRule="auto"/>
        <w:jc w:val="both"/>
        <w:rPr>
          <w:rFonts w:asciiTheme="minorHAnsi" w:hAnsiTheme="minorHAnsi"/>
          <w:b/>
          <w:szCs w:val="22"/>
        </w:rPr>
      </w:pPr>
      <w:r w:rsidRPr="00AB7A96">
        <w:rPr>
          <w:rFonts w:asciiTheme="minorHAnsi" w:hAnsiTheme="minorHAnsi"/>
          <w:b/>
          <w:szCs w:val="22"/>
        </w:rPr>
        <w:lastRenderedPageBreak/>
        <w:t>W ramach RPO WD 2014-2020 rozróżnia się następujące wskaźniki:</w:t>
      </w:r>
    </w:p>
    <w:p w:rsidR="00DF6D97" w:rsidRPr="00AB7A96" w:rsidRDefault="00DF6D97" w:rsidP="00DF6D97">
      <w:pPr>
        <w:pStyle w:val="ListParagraph"/>
        <w:numPr>
          <w:ilvl w:val="0"/>
          <w:numId w:val="5"/>
        </w:numPr>
        <w:spacing w:before="120" w:after="120" w:line="240" w:lineRule="auto"/>
        <w:ind w:left="567" w:hanging="567"/>
        <w:jc w:val="both"/>
        <w:rPr>
          <w:rFonts w:asciiTheme="minorHAnsi" w:hAnsiTheme="minorHAnsi"/>
          <w:b/>
          <w:szCs w:val="22"/>
        </w:rPr>
      </w:pPr>
      <w:r w:rsidRPr="00AB7A96">
        <w:rPr>
          <w:rFonts w:asciiTheme="minorHAnsi" w:hAnsiTheme="minorHAnsi"/>
          <w:b/>
          <w:szCs w:val="22"/>
        </w:rPr>
        <w:t>obligatoryjne – wskaźniki ujęte w RPO WD 2014-2020, SZOOP RPO WD 2014-2020</w:t>
      </w:r>
    </w:p>
    <w:p w:rsidR="00DF6D97" w:rsidRPr="00AB7A96" w:rsidRDefault="00DF6D97" w:rsidP="00DF6D97">
      <w:pPr>
        <w:pStyle w:val="ListParagraph"/>
        <w:numPr>
          <w:ilvl w:val="0"/>
          <w:numId w:val="5"/>
        </w:numPr>
        <w:spacing w:before="120" w:after="120" w:line="240" w:lineRule="auto"/>
        <w:ind w:left="567" w:hanging="567"/>
        <w:jc w:val="both"/>
        <w:rPr>
          <w:rFonts w:asciiTheme="minorHAnsi" w:hAnsiTheme="minorHAnsi"/>
          <w:b/>
          <w:szCs w:val="22"/>
        </w:rPr>
      </w:pPr>
      <w:r w:rsidRPr="00AB7A96">
        <w:rPr>
          <w:rFonts w:asciiTheme="minorHAnsi" w:hAnsiTheme="minorHAnsi"/>
          <w:b/>
          <w:szCs w:val="22"/>
        </w:rPr>
        <w:t xml:space="preserve">horyzontalne </w:t>
      </w:r>
    </w:p>
    <w:p w:rsidR="00DF6D97" w:rsidRPr="00AB7A96" w:rsidRDefault="00DF6D97" w:rsidP="00DF6D97">
      <w:pPr>
        <w:pStyle w:val="ListParagraph"/>
        <w:numPr>
          <w:ilvl w:val="0"/>
          <w:numId w:val="5"/>
        </w:numPr>
        <w:spacing w:before="120" w:after="120" w:line="240" w:lineRule="auto"/>
        <w:ind w:left="567" w:hanging="567"/>
        <w:jc w:val="both"/>
        <w:rPr>
          <w:rFonts w:asciiTheme="minorHAnsi" w:hAnsiTheme="minorHAnsi"/>
          <w:b/>
          <w:szCs w:val="22"/>
        </w:rPr>
      </w:pPr>
      <w:r w:rsidRPr="00AB7A96">
        <w:rPr>
          <w:rFonts w:asciiTheme="minorHAnsi" w:hAnsiTheme="minorHAnsi"/>
          <w:b/>
          <w:szCs w:val="22"/>
        </w:rPr>
        <w:t>dodatkowe – wskaźniki projektowe</w:t>
      </w:r>
    </w:p>
    <w:p w:rsidR="00DF6D97" w:rsidRPr="00AB7A96" w:rsidRDefault="00DF6D97" w:rsidP="00DF6D97">
      <w:pPr>
        <w:pStyle w:val="ListParagraph"/>
        <w:spacing w:before="120" w:after="120" w:line="240" w:lineRule="auto"/>
        <w:ind w:left="720"/>
        <w:jc w:val="both"/>
        <w:rPr>
          <w:rFonts w:asciiTheme="minorHAnsi" w:hAnsiTheme="minorHAnsi"/>
          <w:b/>
          <w:szCs w:val="22"/>
        </w:rPr>
      </w:pPr>
    </w:p>
    <w:p w:rsidR="00DF6D97" w:rsidRPr="00AB7A96" w:rsidRDefault="00DF6D97" w:rsidP="00DF6D97">
      <w:pPr>
        <w:pStyle w:val="Heading1"/>
        <w:spacing w:before="120" w:after="120" w:line="240" w:lineRule="auto"/>
        <w:jc w:val="both"/>
        <w:rPr>
          <w:rFonts w:asciiTheme="minorHAnsi" w:hAnsiTheme="minorHAnsi"/>
          <w:sz w:val="22"/>
          <w:szCs w:val="22"/>
        </w:rPr>
      </w:pPr>
      <w:r w:rsidRPr="00AB7A96">
        <w:rPr>
          <w:rFonts w:asciiTheme="minorHAnsi" w:hAnsiTheme="minorHAnsi"/>
          <w:sz w:val="22"/>
          <w:szCs w:val="22"/>
        </w:rPr>
        <w:t>Wymagania w zakresie wskaźników w projekcie</w:t>
      </w:r>
    </w:p>
    <w:p w:rsidR="00DF6D97" w:rsidRPr="00AB7A96" w:rsidRDefault="00DF6D97" w:rsidP="00DF6D97">
      <w:pPr>
        <w:pStyle w:val="Default"/>
        <w:jc w:val="both"/>
        <w:rPr>
          <w:rFonts w:asciiTheme="minorHAnsi" w:eastAsiaTheme="minorHAnsi" w:hAnsiTheme="minorHAnsi" w:cs="Calibri"/>
          <w:sz w:val="22"/>
          <w:szCs w:val="22"/>
          <w:lang w:eastAsia="en-US"/>
        </w:rPr>
      </w:pPr>
      <w:r w:rsidRPr="00AB7A96">
        <w:rPr>
          <w:rFonts w:asciiTheme="minorHAnsi" w:eastAsiaTheme="minorHAnsi" w:hAnsiTheme="minorHAnsi" w:cs="Calibri"/>
          <w:sz w:val="22"/>
          <w:szCs w:val="22"/>
          <w:lang w:eastAsia="en-US"/>
        </w:rPr>
        <w:t xml:space="preserve">W ramach wniosku o dofinansowanie projektu Wnioskodawca określa </w:t>
      </w:r>
      <w:r w:rsidRPr="00AB7A96">
        <w:rPr>
          <w:rFonts w:asciiTheme="minorHAnsi" w:eastAsiaTheme="minorHAnsi" w:hAnsiTheme="minorHAnsi" w:cs="Calibri"/>
          <w:b/>
          <w:bCs/>
          <w:sz w:val="22"/>
          <w:szCs w:val="22"/>
          <w:lang w:eastAsia="en-US"/>
        </w:rPr>
        <w:t>wskaźniki służące pomiarowi działań i celów założonych w projekcie.</w:t>
      </w:r>
      <w:r w:rsidRPr="00AB7A96">
        <w:rPr>
          <w:rFonts w:asciiTheme="minorHAnsi" w:eastAsiaTheme="minorHAnsi" w:hAnsiTheme="minorHAnsi" w:cs="Calibri"/>
          <w:sz w:val="22"/>
          <w:szCs w:val="22"/>
          <w:lang w:eastAsia="en-US"/>
        </w:rPr>
        <w:t xml:space="preserve"> Wskaźniki w ramach projektu należy określić mając </w:t>
      </w:r>
      <w:r w:rsidRPr="00AB7A96">
        <w:rPr>
          <w:rFonts w:asciiTheme="minorHAnsi" w:eastAsiaTheme="minorHAnsi" w:hAnsiTheme="minorHAnsi" w:cs="Calibri"/>
          <w:sz w:val="22"/>
          <w:szCs w:val="22"/>
          <w:lang w:eastAsia="en-US"/>
        </w:rPr>
        <w:br/>
        <w:t>w szczególności na uwadze zapisy niniejszego regulaminu.</w:t>
      </w:r>
    </w:p>
    <w:p w:rsidR="00DF6D97" w:rsidRPr="00AB7A96" w:rsidRDefault="00DF6D97" w:rsidP="00DF6D97">
      <w:pPr>
        <w:pStyle w:val="Default"/>
        <w:jc w:val="both"/>
        <w:rPr>
          <w:rFonts w:asciiTheme="minorHAnsi" w:eastAsiaTheme="minorHAnsi" w:hAnsiTheme="minorHAnsi" w:cs="Calibri"/>
          <w:sz w:val="22"/>
          <w:szCs w:val="22"/>
          <w:lang w:eastAsia="en-US"/>
        </w:rPr>
      </w:pPr>
    </w:p>
    <w:p w:rsidR="00DF6D97" w:rsidRPr="00AB7A96" w:rsidRDefault="00DF6D97" w:rsidP="00DF6D97">
      <w:pPr>
        <w:pStyle w:val="Default"/>
        <w:jc w:val="both"/>
        <w:rPr>
          <w:rFonts w:asciiTheme="minorHAnsi" w:hAnsiTheme="minorHAnsi"/>
          <w:b/>
          <w:sz w:val="22"/>
          <w:szCs w:val="22"/>
        </w:rPr>
      </w:pPr>
      <w:r w:rsidRPr="00AB7A96">
        <w:rPr>
          <w:rFonts w:asciiTheme="minorHAnsi" w:eastAsiaTheme="minorHAnsi" w:hAnsiTheme="minorHAnsi" w:cs="Calibri"/>
          <w:sz w:val="22"/>
          <w:szCs w:val="22"/>
          <w:lang w:eastAsia="en-US"/>
        </w:rPr>
        <w:t xml:space="preserve"> </w:t>
      </w:r>
      <w:r w:rsidRPr="00AB7A96">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AB7A96" w:rsidRDefault="00DF6D97" w:rsidP="008B73B1">
      <w:pPr>
        <w:autoSpaceDE w:val="0"/>
        <w:autoSpaceDN w:val="0"/>
        <w:adjustRightInd w:val="0"/>
        <w:spacing w:line="240" w:lineRule="auto"/>
        <w:ind w:firstLine="708"/>
        <w:jc w:val="both"/>
        <w:rPr>
          <w:rFonts w:asciiTheme="minorHAnsi" w:hAnsiTheme="minorHAnsi" w:cs="Arial"/>
          <w:szCs w:val="22"/>
        </w:rPr>
      </w:pPr>
      <w:r w:rsidRPr="00AB7A96">
        <w:rPr>
          <w:rFonts w:asciiTheme="minorHAnsi" w:hAnsiTheme="minorHAnsi" w:cs="Arial"/>
          <w:b/>
          <w:szCs w:val="22"/>
        </w:rPr>
        <w:t>W</w:t>
      </w:r>
      <w:r w:rsidRPr="00AB7A96">
        <w:rPr>
          <w:rFonts w:asciiTheme="minorHAnsi" w:hAnsiTheme="minorHAnsi" w:cs="Arial"/>
          <w:b/>
          <w:bCs/>
          <w:szCs w:val="22"/>
        </w:rPr>
        <w:t>skaźniki produktu</w:t>
      </w:r>
      <w:r w:rsidRPr="00AB7A96">
        <w:rPr>
          <w:rFonts w:asciiTheme="minorHAnsi" w:hAnsiTheme="minorHAnsi" w:cs="Arial"/>
          <w:bCs/>
          <w:szCs w:val="22"/>
        </w:rPr>
        <w:t xml:space="preserve"> są to wskaźniki powiązane bezpośrednio z wydatkami ponoszonymi </w:t>
      </w:r>
      <w:r w:rsidRPr="00AB7A96">
        <w:rPr>
          <w:rFonts w:asciiTheme="minorHAnsi" w:hAnsiTheme="minorHAnsi" w:cs="Arial"/>
          <w:bCs/>
          <w:szCs w:val="22"/>
        </w:rPr>
        <w:br/>
        <w:t>w projekcie</w:t>
      </w:r>
      <w:r w:rsidRPr="00AB7A96">
        <w:rPr>
          <w:rFonts w:asciiTheme="minorHAnsi" w:hAnsiTheme="minorHAnsi" w:cs="Arial"/>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DF6D97" w:rsidRPr="00AB7A96" w:rsidRDefault="00DF6D97" w:rsidP="00DF6D97">
      <w:pPr>
        <w:pStyle w:val="Default"/>
        <w:jc w:val="both"/>
        <w:rPr>
          <w:rFonts w:asciiTheme="minorHAnsi" w:hAnsiTheme="minorHAnsi"/>
          <w:sz w:val="22"/>
          <w:szCs w:val="22"/>
        </w:rPr>
      </w:pPr>
      <w:r w:rsidRPr="00AB7A96">
        <w:rPr>
          <w:rFonts w:asciiTheme="minorHAnsi" w:hAnsiTheme="minorHAnsi"/>
          <w:sz w:val="22"/>
          <w:szCs w:val="22"/>
        </w:rPr>
        <w:t xml:space="preserve">Dla każdego z wybranych wskaźników Wnioskodawca zobowiązany jest do wskazania </w:t>
      </w:r>
      <w:r w:rsidRPr="00AB7A96">
        <w:rPr>
          <w:rFonts w:asciiTheme="minorHAnsi" w:hAnsiTheme="minorHAnsi"/>
          <w:i/>
          <w:sz w:val="22"/>
          <w:szCs w:val="22"/>
        </w:rPr>
        <w:t>„Jednostki miary”</w:t>
      </w:r>
      <w:r w:rsidRPr="00AB7A96">
        <w:rPr>
          <w:rFonts w:asciiTheme="minorHAnsi" w:hAnsiTheme="minorHAnsi"/>
          <w:sz w:val="22"/>
          <w:szCs w:val="22"/>
        </w:rPr>
        <w:t xml:space="preserve">, </w:t>
      </w:r>
      <w:r w:rsidRPr="00AB7A96">
        <w:rPr>
          <w:rFonts w:asciiTheme="minorHAnsi" w:hAnsiTheme="minorHAnsi"/>
          <w:i/>
          <w:sz w:val="22"/>
          <w:szCs w:val="22"/>
        </w:rPr>
        <w:t>„Wartości bazowej”</w:t>
      </w:r>
      <w:r w:rsidRPr="00AB7A96">
        <w:rPr>
          <w:rFonts w:asciiTheme="minorHAnsi" w:hAnsiTheme="minorHAnsi"/>
          <w:sz w:val="22"/>
          <w:szCs w:val="22"/>
        </w:rPr>
        <w:t xml:space="preserve">, </w:t>
      </w:r>
      <w:r w:rsidRPr="00AB7A96">
        <w:rPr>
          <w:rFonts w:asciiTheme="minorHAnsi" w:hAnsiTheme="minorHAnsi"/>
          <w:i/>
          <w:sz w:val="22"/>
          <w:szCs w:val="22"/>
        </w:rPr>
        <w:t>„Wartości docelowej wskaźnika”</w:t>
      </w:r>
      <w:r w:rsidRPr="00AB7A96">
        <w:rPr>
          <w:rFonts w:asciiTheme="minorHAnsi" w:hAnsiTheme="minorHAnsi"/>
          <w:sz w:val="22"/>
          <w:szCs w:val="22"/>
        </w:rPr>
        <w:t xml:space="preserve">, a także </w:t>
      </w:r>
      <w:r w:rsidRPr="00AB7A96">
        <w:rPr>
          <w:rFonts w:asciiTheme="minorHAnsi" w:hAnsiTheme="minorHAnsi"/>
          <w:i/>
          <w:sz w:val="22"/>
          <w:szCs w:val="22"/>
        </w:rPr>
        <w:t>„Źródła informacji o wskaźniku”</w:t>
      </w:r>
      <w:r w:rsidRPr="00AB7A96">
        <w:rPr>
          <w:rFonts w:asciiTheme="minorHAnsi" w:hAnsiTheme="minorHAnsi"/>
          <w:sz w:val="22"/>
          <w:szCs w:val="22"/>
        </w:rPr>
        <w:t xml:space="preserve">. </w:t>
      </w:r>
    </w:p>
    <w:p w:rsidR="00DF6D97" w:rsidRPr="00AB7A96" w:rsidRDefault="00DF6D97" w:rsidP="00DF6D97">
      <w:pPr>
        <w:pStyle w:val="Default"/>
        <w:jc w:val="both"/>
        <w:rPr>
          <w:rFonts w:asciiTheme="minorHAnsi" w:hAnsiTheme="minorHAnsi"/>
          <w:sz w:val="22"/>
          <w:szCs w:val="22"/>
        </w:rPr>
      </w:pPr>
      <w:r w:rsidRPr="00AB7A96">
        <w:rPr>
          <w:rFonts w:asciiTheme="minorHAnsi" w:hAnsiTheme="minorHAnsi"/>
          <w:sz w:val="22"/>
          <w:szCs w:val="22"/>
        </w:rPr>
        <w:t xml:space="preserve">Wartość docelowa dla wskaźnika produktu to wyrażony liczbowo stan danego wskaźnika na moment zakończenia rzeczowej realizacji projektu. </w:t>
      </w:r>
    </w:p>
    <w:p w:rsidR="00DF6D97" w:rsidRPr="00AB7A96" w:rsidRDefault="00DF6D97" w:rsidP="00DF6D97">
      <w:pPr>
        <w:pStyle w:val="Default"/>
        <w:jc w:val="both"/>
        <w:rPr>
          <w:rFonts w:asciiTheme="minorHAnsi" w:hAnsiTheme="minorHAnsi"/>
          <w:sz w:val="22"/>
          <w:szCs w:val="22"/>
        </w:rPr>
      </w:pPr>
      <w:r w:rsidRPr="00AB7A96">
        <w:rPr>
          <w:rFonts w:asciiTheme="minorHAnsi" w:hAnsiTheme="minorHAnsi"/>
          <w:sz w:val="22"/>
          <w:szCs w:val="22"/>
        </w:rPr>
        <w:t>Jako źródło informacji o wskaźniku wskazać należy odpowiedni dokument</w:t>
      </w:r>
      <w:r w:rsidR="00871F22" w:rsidRPr="00AB7A96">
        <w:rPr>
          <w:rFonts w:asciiTheme="minorHAnsi" w:hAnsiTheme="minorHAnsi"/>
          <w:sz w:val="22"/>
          <w:szCs w:val="22"/>
        </w:rPr>
        <w:t>.</w:t>
      </w:r>
    </w:p>
    <w:p w:rsidR="00DF6D97" w:rsidRPr="00AB7A96" w:rsidRDefault="00DF6D97" w:rsidP="00DF6D97">
      <w:pPr>
        <w:autoSpaceDE w:val="0"/>
        <w:autoSpaceDN w:val="0"/>
        <w:adjustRightInd w:val="0"/>
        <w:spacing w:before="120" w:after="120" w:line="240" w:lineRule="auto"/>
        <w:jc w:val="both"/>
        <w:rPr>
          <w:rFonts w:asciiTheme="minorHAnsi" w:hAnsiTheme="minorHAnsi"/>
          <w:b/>
          <w:szCs w:val="22"/>
        </w:rPr>
      </w:pPr>
      <w:r w:rsidRPr="00AB7A96">
        <w:rPr>
          <w:rFonts w:asciiTheme="minorHAnsi" w:hAnsiTheme="minorHAnsi"/>
          <w:szCs w:val="22"/>
        </w:rPr>
        <w:t xml:space="preserve">W ramach Działania </w:t>
      </w:r>
      <w:r w:rsidR="00A603C0" w:rsidRPr="00AB7A96">
        <w:rPr>
          <w:rFonts w:asciiTheme="minorHAnsi" w:hAnsiTheme="minorHAnsi"/>
          <w:szCs w:val="22"/>
        </w:rPr>
        <w:t>3.1</w:t>
      </w:r>
      <w:r w:rsidR="008F1A47" w:rsidRPr="00AB7A96">
        <w:rPr>
          <w:rFonts w:asciiTheme="minorHAnsi" w:hAnsiTheme="minorHAnsi"/>
          <w:szCs w:val="22"/>
        </w:rPr>
        <w:t>.</w:t>
      </w:r>
      <w:r w:rsidR="00E43265" w:rsidRPr="00AB7A96">
        <w:rPr>
          <w:rFonts w:asciiTheme="minorHAnsi" w:hAnsiTheme="minorHAnsi"/>
          <w:szCs w:val="22"/>
        </w:rPr>
        <w:t>A</w:t>
      </w:r>
      <w:r w:rsidR="008F1A47" w:rsidRPr="00AB7A96">
        <w:rPr>
          <w:rFonts w:asciiTheme="minorHAnsi" w:hAnsiTheme="minorHAnsi"/>
          <w:szCs w:val="22"/>
        </w:rPr>
        <w:t xml:space="preserve"> </w:t>
      </w:r>
      <w:r w:rsidRPr="00AB7A96">
        <w:rPr>
          <w:rFonts w:asciiTheme="minorHAnsi" w:hAnsiTheme="minorHAnsi"/>
          <w:szCs w:val="22"/>
        </w:rPr>
        <w:t xml:space="preserve">określono poniższe wskaźniki </w:t>
      </w:r>
      <w:r w:rsidRPr="00AB7A96">
        <w:rPr>
          <w:rFonts w:asciiTheme="minorHAnsi" w:hAnsiTheme="minorHAnsi"/>
          <w:b/>
          <w:szCs w:val="22"/>
        </w:rPr>
        <w:t>produktu:</w:t>
      </w:r>
    </w:p>
    <w:tbl>
      <w:tblPr>
        <w:tblW w:w="507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tblPr>
      <w:tblGrid>
        <w:gridCol w:w="2235"/>
        <w:gridCol w:w="1133"/>
        <w:gridCol w:w="4396"/>
        <w:gridCol w:w="1665"/>
      </w:tblGrid>
      <w:tr w:rsidR="00C55C4D" w:rsidRPr="00AB7A96" w:rsidTr="00181293">
        <w:trPr>
          <w:cantSplit/>
          <w:trHeight w:val="20"/>
          <w:jc w:val="center"/>
        </w:trPr>
        <w:tc>
          <w:tcPr>
            <w:tcW w:w="1185" w:type="pct"/>
            <w:shd w:val="clear" w:color="auto" w:fill="auto"/>
            <w:vAlign w:val="center"/>
          </w:tcPr>
          <w:p w:rsidR="005657D8" w:rsidRPr="00AB7A96" w:rsidRDefault="005657D8" w:rsidP="00A603C0">
            <w:pPr>
              <w:spacing w:before="0" w:line="240" w:lineRule="auto"/>
              <w:jc w:val="center"/>
              <w:rPr>
                <w:rFonts w:asciiTheme="minorHAnsi" w:hAnsiTheme="minorHAnsi"/>
                <w:b/>
                <w:szCs w:val="22"/>
              </w:rPr>
            </w:pPr>
            <w:r w:rsidRPr="00AB7A96">
              <w:rPr>
                <w:rFonts w:asciiTheme="minorHAnsi" w:hAnsiTheme="minorHAnsi"/>
                <w:b/>
                <w:szCs w:val="22"/>
              </w:rPr>
              <w:t>Nazwa wskaźnika produktu</w:t>
            </w:r>
          </w:p>
        </w:tc>
        <w:tc>
          <w:tcPr>
            <w:tcW w:w="601" w:type="pct"/>
            <w:vAlign w:val="center"/>
          </w:tcPr>
          <w:p w:rsidR="005657D8" w:rsidRPr="00AB7A96" w:rsidRDefault="005657D8" w:rsidP="00A603C0">
            <w:pPr>
              <w:suppressAutoHyphens/>
              <w:spacing w:before="0" w:line="240" w:lineRule="auto"/>
              <w:jc w:val="center"/>
              <w:rPr>
                <w:rFonts w:asciiTheme="minorHAnsi" w:hAnsiTheme="minorHAnsi"/>
                <w:b/>
                <w:bCs/>
                <w:szCs w:val="22"/>
              </w:rPr>
            </w:pPr>
            <w:r w:rsidRPr="00AB7A96">
              <w:rPr>
                <w:rFonts w:asciiTheme="minorHAnsi" w:hAnsiTheme="minorHAnsi"/>
                <w:b/>
                <w:bCs/>
                <w:szCs w:val="22"/>
              </w:rPr>
              <w:t>Jednostka miary</w:t>
            </w:r>
          </w:p>
        </w:tc>
        <w:tc>
          <w:tcPr>
            <w:tcW w:w="2331" w:type="pct"/>
            <w:shd w:val="clear" w:color="auto" w:fill="auto"/>
            <w:vAlign w:val="center"/>
          </w:tcPr>
          <w:p w:rsidR="005657D8" w:rsidRPr="00AB7A96" w:rsidRDefault="005657D8" w:rsidP="00A603C0">
            <w:pPr>
              <w:suppressAutoHyphens/>
              <w:spacing w:before="0" w:line="240" w:lineRule="auto"/>
              <w:jc w:val="center"/>
              <w:rPr>
                <w:rFonts w:asciiTheme="minorHAnsi" w:hAnsiTheme="minorHAnsi"/>
                <w:b/>
                <w:szCs w:val="22"/>
              </w:rPr>
            </w:pPr>
            <w:r w:rsidRPr="00AB7A96">
              <w:rPr>
                <w:rFonts w:asciiTheme="minorHAnsi" w:hAnsiTheme="minorHAnsi"/>
                <w:b/>
                <w:bCs/>
                <w:szCs w:val="22"/>
              </w:rPr>
              <w:t>Definicja wskaźnika</w:t>
            </w:r>
          </w:p>
        </w:tc>
        <w:tc>
          <w:tcPr>
            <w:tcW w:w="883" w:type="pct"/>
            <w:vAlign w:val="center"/>
          </w:tcPr>
          <w:p w:rsidR="005657D8" w:rsidRPr="00AB7A96" w:rsidRDefault="005657D8" w:rsidP="00A603C0">
            <w:pPr>
              <w:suppressAutoHyphens/>
              <w:spacing w:before="0" w:line="240" w:lineRule="auto"/>
              <w:jc w:val="center"/>
              <w:rPr>
                <w:rFonts w:asciiTheme="minorHAnsi" w:hAnsiTheme="minorHAnsi"/>
                <w:b/>
                <w:bCs/>
                <w:szCs w:val="22"/>
              </w:rPr>
            </w:pPr>
            <w:r w:rsidRPr="00AB7A96">
              <w:rPr>
                <w:rFonts w:asciiTheme="minorHAnsi" w:hAnsiTheme="minorHAnsi"/>
                <w:b/>
                <w:bCs/>
                <w:szCs w:val="22"/>
              </w:rPr>
              <w:t>Rodzaj dokumentu, w</w:t>
            </w:r>
            <w:r w:rsidR="007E025A" w:rsidRPr="00AB7A96">
              <w:rPr>
                <w:rFonts w:asciiTheme="minorHAnsi" w:hAnsiTheme="minorHAnsi"/>
                <w:b/>
                <w:bCs/>
                <w:szCs w:val="22"/>
              </w:rPr>
              <w:t> </w:t>
            </w:r>
            <w:r w:rsidRPr="00AB7A96">
              <w:rPr>
                <w:rFonts w:asciiTheme="minorHAnsi" w:hAnsiTheme="minorHAnsi"/>
                <w:b/>
                <w:bCs/>
                <w:szCs w:val="22"/>
              </w:rPr>
              <w:t>którym określono wskaźnik</w:t>
            </w:r>
          </w:p>
        </w:tc>
      </w:tr>
      <w:tr w:rsidR="005E022F" w:rsidRPr="00AB7A96" w:rsidTr="00181293">
        <w:trPr>
          <w:trHeight w:val="1121"/>
          <w:jc w:val="center"/>
        </w:trPr>
        <w:tc>
          <w:tcPr>
            <w:tcW w:w="1185" w:type="pct"/>
            <w:shd w:val="clear" w:color="auto" w:fill="auto"/>
          </w:tcPr>
          <w:p w:rsidR="005E022F" w:rsidRPr="00AB7A96" w:rsidRDefault="00A603C0" w:rsidP="00187C0F">
            <w:pPr>
              <w:rPr>
                <w:rFonts w:asciiTheme="minorHAnsi" w:hAnsiTheme="minorHAnsi" w:cs="ArialNarrow"/>
              </w:rPr>
            </w:pPr>
            <w:r w:rsidRPr="00AB7A96">
              <w:rPr>
                <w:rFonts w:cs="Arial"/>
                <w:sz w:val="20"/>
              </w:rPr>
              <w:t>Liczba wybudowanych jednostek wytwarzania energii elektrycznej z OZE</w:t>
            </w:r>
          </w:p>
          <w:p w:rsidR="005E022F" w:rsidRPr="00AB7A96" w:rsidRDefault="005E022F" w:rsidP="00187C0F">
            <w:pPr>
              <w:rPr>
                <w:rFonts w:asciiTheme="minorHAnsi" w:hAnsiTheme="minorHAnsi" w:cs="ArialNarrow"/>
              </w:rPr>
            </w:pPr>
          </w:p>
          <w:p w:rsidR="005E022F" w:rsidRPr="00AB7A96" w:rsidRDefault="005E022F" w:rsidP="00187C0F">
            <w:pPr>
              <w:rPr>
                <w:rFonts w:asciiTheme="minorHAnsi" w:hAnsiTheme="minorHAnsi" w:cs="ArialNarrow"/>
              </w:rPr>
            </w:pPr>
          </w:p>
          <w:p w:rsidR="005E022F" w:rsidRPr="00AB7A96" w:rsidRDefault="005E022F" w:rsidP="00187C0F">
            <w:pPr>
              <w:rPr>
                <w:rFonts w:asciiTheme="minorHAnsi" w:hAnsiTheme="minorHAnsi" w:cs="ArialNarrow"/>
              </w:rPr>
            </w:pPr>
          </w:p>
          <w:p w:rsidR="005E022F" w:rsidRPr="00AB7A96" w:rsidRDefault="005E022F" w:rsidP="00187C0F">
            <w:pPr>
              <w:rPr>
                <w:rFonts w:asciiTheme="minorHAnsi" w:hAnsiTheme="minorHAnsi" w:cs="ArialNarrow"/>
              </w:rPr>
            </w:pPr>
          </w:p>
        </w:tc>
        <w:tc>
          <w:tcPr>
            <w:tcW w:w="601" w:type="pct"/>
          </w:tcPr>
          <w:p w:rsidR="00A603C0" w:rsidRPr="00AB7A96" w:rsidRDefault="00A603C0" w:rsidP="00A603C0">
            <w:pPr>
              <w:spacing w:before="0" w:line="240" w:lineRule="auto"/>
              <w:jc w:val="center"/>
              <w:rPr>
                <w:rFonts w:asciiTheme="minorHAnsi" w:hAnsiTheme="minorHAnsi" w:cs="ArialNarrow"/>
              </w:rPr>
            </w:pPr>
          </w:p>
          <w:p w:rsidR="00A603C0" w:rsidRPr="00AB7A96" w:rsidRDefault="00A603C0" w:rsidP="00A603C0">
            <w:pPr>
              <w:spacing w:before="0" w:line="240" w:lineRule="auto"/>
              <w:jc w:val="center"/>
              <w:rPr>
                <w:rFonts w:asciiTheme="minorHAnsi" w:hAnsiTheme="minorHAnsi" w:cs="ArialNarrow"/>
              </w:rPr>
            </w:pPr>
          </w:p>
          <w:p w:rsidR="00A603C0" w:rsidRPr="00AB7A96" w:rsidRDefault="00A603C0" w:rsidP="00A603C0">
            <w:pPr>
              <w:spacing w:before="0" w:line="240" w:lineRule="auto"/>
              <w:jc w:val="center"/>
              <w:rPr>
                <w:rFonts w:asciiTheme="minorHAnsi" w:hAnsiTheme="minorHAnsi" w:cs="ArialNarrow"/>
              </w:rPr>
            </w:pPr>
          </w:p>
          <w:p w:rsidR="005E022F" w:rsidRPr="00AB7A96" w:rsidRDefault="00A603C0" w:rsidP="00A603C0">
            <w:pPr>
              <w:spacing w:before="0" w:line="240" w:lineRule="auto"/>
              <w:jc w:val="center"/>
              <w:rPr>
                <w:rFonts w:asciiTheme="minorHAnsi" w:hAnsiTheme="minorHAnsi" w:cs="ArialNarrow"/>
              </w:rPr>
            </w:pPr>
            <w:r w:rsidRPr="00AB7A96">
              <w:rPr>
                <w:rFonts w:asciiTheme="minorHAnsi" w:hAnsiTheme="minorHAnsi" w:cs="ArialNarrow"/>
              </w:rPr>
              <w:t>Szt.</w:t>
            </w:r>
          </w:p>
          <w:p w:rsidR="005E022F" w:rsidRPr="00AB7A96" w:rsidRDefault="005E022F" w:rsidP="00187C0F">
            <w:pPr>
              <w:spacing w:before="0" w:line="240" w:lineRule="auto"/>
              <w:rPr>
                <w:rFonts w:asciiTheme="minorHAnsi" w:hAnsiTheme="minorHAnsi"/>
                <w:szCs w:val="22"/>
              </w:rPr>
            </w:pPr>
          </w:p>
        </w:tc>
        <w:tc>
          <w:tcPr>
            <w:tcW w:w="2331" w:type="pct"/>
            <w:shd w:val="clear" w:color="auto" w:fill="auto"/>
          </w:tcPr>
          <w:p w:rsidR="004E719F" w:rsidRPr="00AB7A96" w:rsidRDefault="004E719F" w:rsidP="004E719F">
            <w:pPr>
              <w:suppressAutoHyphens/>
              <w:spacing w:before="0" w:line="240" w:lineRule="auto"/>
              <w:jc w:val="both"/>
              <w:rPr>
                <w:rFonts w:asciiTheme="minorHAnsi" w:hAnsiTheme="minorHAnsi" w:cs="TimesNewRoman,Bold"/>
                <w:szCs w:val="22"/>
              </w:rPr>
            </w:pPr>
            <w:r w:rsidRPr="00AB7A96">
              <w:rPr>
                <w:rFonts w:asciiTheme="minorHAnsi" w:hAnsiTheme="minorHAnsi" w:cs="TimesNewRoman,Bold"/>
                <w:szCs w:val="22"/>
              </w:rPr>
              <w:t xml:space="preserve">Jednostka wytwarzania energii elektrycznej obejmuje: </w:t>
            </w:r>
          </w:p>
          <w:p w:rsidR="004E719F" w:rsidRPr="00AB7A96" w:rsidRDefault="004E719F" w:rsidP="004E719F">
            <w:pPr>
              <w:suppressAutoHyphens/>
              <w:spacing w:before="0" w:line="240" w:lineRule="auto"/>
              <w:jc w:val="both"/>
              <w:rPr>
                <w:rFonts w:asciiTheme="minorHAnsi" w:hAnsiTheme="minorHAnsi" w:cs="TimesNewRoman,Bold"/>
                <w:szCs w:val="22"/>
              </w:rPr>
            </w:pPr>
            <w:r w:rsidRPr="00AB7A96">
              <w:rPr>
                <w:rFonts w:asciiTheme="minorHAnsi" w:hAnsiTheme="minorHAnsi" w:cs="TimesNewRoman,Bold"/>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rsidR="004E719F" w:rsidRPr="00AB7A96" w:rsidRDefault="004E719F" w:rsidP="004E719F">
            <w:pPr>
              <w:suppressAutoHyphens/>
              <w:spacing w:before="0" w:line="240" w:lineRule="auto"/>
              <w:jc w:val="both"/>
              <w:rPr>
                <w:rFonts w:asciiTheme="minorHAnsi" w:hAnsiTheme="minorHAnsi" w:cs="TimesNewRoman,Bold"/>
                <w:szCs w:val="22"/>
              </w:rPr>
            </w:pPr>
            <w:r w:rsidRPr="00AB7A96">
              <w:rPr>
                <w:rFonts w:asciiTheme="minorHAnsi" w:hAnsiTheme="minorHAnsi" w:cs="TimesNewRoman,Bold"/>
                <w:szCs w:val="22"/>
              </w:rPr>
              <w:t>w przypadku budynków mieszkalnych i budynków użyteczności publicznej: zespół urządzeń służących do wytwarzania energii elektrycznej z OZE.</w:t>
            </w:r>
          </w:p>
          <w:p w:rsidR="005E022F" w:rsidRPr="00AB7A96" w:rsidRDefault="004E719F" w:rsidP="004E719F">
            <w:pPr>
              <w:spacing w:before="0" w:line="240" w:lineRule="auto"/>
              <w:rPr>
                <w:rFonts w:asciiTheme="minorHAnsi" w:hAnsiTheme="minorHAnsi"/>
                <w:szCs w:val="22"/>
                <w:u w:val="single"/>
              </w:rPr>
            </w:pPr>
            <w:r w:rsidRPr="00AB7A96">
              <w:rPr>
                <w:rFonts w:asciiTheme="minorHAnsi" w:hAnsiTheme="minorHAnsi" w:cs="TimesNewRoman,Bold"/>
                <w:szCs w:val="22"/>
              </w:rPr>
              <w:lastRenderedPageBreak/>
              <w:t>Odnawialne źródła energii – rozumiane zgodnie z ustawą z dnia 20 lutego 2015 r. o odnawialnych źródłach energii.</w:t>
            </w:r>
          </w:p>
        </w:tc>
        <w:tc>
          <w:tcPr>
            <w:tcW w:w="883" w:type="pct"/>
          </w:tcPr>
          <w:p w:rsidR="00A603C0" w:rsidRPr="00AB7A96" w:rsidRDefault="00A603C0" w:rsidP="00A603C0">
            <w:pPr>
              <w:spacing w:before="0" w:line="240" w:lineRule="auto"/>
              <w:jc w:val="center"/>
              <w:rPr>
                <w:rFonts w:asciiTheme="minorHAnsi" w:hAnsiTheme="minorHAnsi"/>
                <w:szCs w:val="22"/>
              </w:rPr>
            </w:pPr>
          </w:p>
          <w:p w:rsidR="00A603C0" w:rsidRPr="00AB7A96" w:rsidRDefault="00A603C0" w:rsidP="00A603C0">
            <w:pPr>
              <w:spacing w:before="0" w:line="240" w:lineRule="auto"/>
              <w:jc w:val="center"/>
              <w:rPr>
                <w:rFonts w:asciiTheme="minorHAnsi" w:hAnsiTheme="minorHAnsi"/>
                <w:szCs w:val="22"/>
              </w:rPr>
            </w:pPr>
          </w:p>
          <w:p w:rsidR="00A603C0" w:rsidRPr="00AB7A96" w:rsidRDefault="005E022F" w:rsidP="00A603C0">
            <w:pPr>
              <w:spacing w:before="0" w:line="240" w:lineRule="auto"/>
              <w:jc w:val="center"/>
              <w:rPr>
                <w:rFonts w:asciiTheme="minorHAnsi" w:hAnsiTheme="minorHAnsi"/>
                <w:szCs w:val="22"/>
              </w:rPr>
            </w:pPr>
            <w:r w:rsidRPr="00AB7A96">
              <w:rPr>
                <w:rFonts w:asciiTheme="minorHAnsi" w:hAnsiTheme="minorHAnsi"/>
                <w:szCs w:val="22"/>
              </w:rPr>
              <w:t>RPO WD</w:t>
            </w:r>
          </w:p>
          <w:p w:rsidR="005E022F" w:rsidRPr="00AB7A96" w:rsidRDefault="005E022F" w:rsidP="00A603C0">
            <w:pPr>
              <w:spacing w:before="0" w:line="240" w:lineRule="auto"/>
              <w:jc w:val="center"/>
              <w:rPr>
                <w:rFonts w:asciiTheme="minorHAnsi" w:hAnsiTheme="minorHAnsi"/>
                <w:szCs w:val="22"/>
              </w:rPr>
            </w:pPr>
            <w:r w:rsidRPr="00AB7A96">
              <w:rPr>
                <w:rFonts w:asciiTheme="minorHAnsi" w:hAnsiTheme="minorHAnsi"/>
                <w:szCs w:val="22"/>
              </w:rPr>
              <w:t>2014-2020</w:t>
            </w:r>
          </w:p>
        </w:tc>
      </w:tr>
      <w:tr w:rsidR="00A603C0" w:rsidRPr="00AB7A96" w:rsidTr="00181293">
        <w:trPr>
          <w:trHeight w:val="1121"/>
          <w:jc w:val="center"/>
        </w:trPr>
        <w:tc>
          <w:tcPr>
            <w:tcW w:w="1185" w:type="pct"/>
            <w:shd w:val="clear" w:color="auto" w:fill="auto"/>
          </w:tcPr>
          <w:p w:rsidR="00A603C0" w:rsidRPr="00AB7A96" w:rsidRDefault="00A603C0" w:rsidP="00187C0F">
            <w:pPr>
              <w:rPr>
                <w:rFonts w:cs="Arial"/>
                <w:sz w:val="20"/>
              </w:rPr>
            </w:pPr>
            <w:r w:rsidRPr="00AB7A96">
              <w:rPr>
                <w:rFonts w:cs="Arial"/>
                <w:sz w:val="20"/>
              </w:rPr>
              <w:lastRenderedPageBreak/>
              <w:t>Liczba przebudowanych jednostek wytwarzania energii elektrycznej z OZE</w:t>
            </w:r>
          </w:p>
        </w:tc>
        <w:tc>
          <w:tcPr>
            <w:tcW w:w="601" w:type="pct"/>
          </w:tcPr>
          <w:p w:rsidR="00A603C0" w:rsidRPr="00AB7A96" w:rsidRDefault="00A603C0" w:rsidP="00187C0F">
            <w:pPr>
              <w:spacing w:before="0" w:line="240" w:lineRule="auto"/>
              <w:rPr>
                <w:rFonts w:asciiTheme="minorHAnsi" w:hAnsiTheme="minorHAnsi" w:cs="ArialNarrow"/>
              </w:rPr>
            </w:pPr>
          </w:p>
          <w:p w:rsidR="00A603C0" w:rsidRPr="00AB7A96" w:rsidRDefault="00A603C0" w:rsidP="00187C0F">
            <w:pPr>
              <w:spacing w:before="0" w:line="240" w:lineRule="auto"/>
              <w:rPr>
                <w:rFonts w:asciiTheme="minorHAnsi" w:hAnsiTheme="minorHAnsi" w:cs="ArialNarrow"/>
              </w:rPr>
            </w:pPr>
          </w:p>
          <w:p w:rsidR="00A603C0" w:rsidRPr="00AB7A96" w:rsidRDefault="00A603C0" w:rsidP="00A603C0">
            <w:pPr>
              <w:spacing w:before="0" w:line="240" w:lineRule="auto"/>
              <w:jc w:val="center"/>
              <w:rPr>
                <w:rFonts w:asciiTheme="minorHAnsi" w:hAnsiTheme="minorHAnsi" w:cs="ArialNarrow"/>
              </w:rPr>
            </w:pPr>
            <w:r w:rsidRPr="00AB7A96">
              <w:rPr>
                <w:rFonts w:asciiTheme="minorHAnsi" w:hAnsiTheme="minorHAnsi" w:cs="ArialNarrow"/>
              </w:rPr>
              <w:t>Szt.</w:t>
            </w:r>
          </w:p>
        </w:tc>
        <w:tc>
          <w:tcPr>
            <w:tcW w:w="2331" w:type="pct"/>
            <w:shd w:val="clear" w:color="auto" w:fill="auto"/>
          </w:tcPr>
          <w:p w:rsidR="00AB7A96" w:rsidRPr="00AB7A96" w:rsidRDefault="00AB7A96" w:rsidP="00AB7A96">
            <w:pPr>
              <w:spacing w:before="0" w:line="276" w:lineRule="auto"/>
              <w:jc w:val="both"/>
              <w:rPr>
                <w:rFonts w:asciiTheme="minorHAnsi" w:hAnsiTheme="minorHAnsi"/>
                <w:color w:val="000000" w:themeColor="text1"/>
                <w:szCs w:val="22"/>
              </w:rPr>
            </w:pPr>
            <w:r w:rsidRPr="00AB7A96">
              <w:rPr>
                <w:rFonts w:asciiTheme="minorHAnsi" w:hAnsiTheme="minorHAnsi"/>
                <w:color w:val="000000" w:themeColor="text1"/>
                <w:szCs w:val="22"/>
              </w:rPr>
              <w:t>Jednostka wytwarzania energii elektrycznej obejmuje:</w:t>
            </w:r>
          </w:p>
          <w:p w:rsidR="00AB7A96" w:rsidRPr="00AB7A96" w:rsidRDefault="00AB7A96" w:rsidP="00AB7A96">
            <w:pPr>
              <w:spacing w:before="0" w:line="276" w:lineRule="auto"/>
              <w:jc w:val="both"/>
              <w:rPr>
                <w:rFonts w:asciiTheme="minorHAnsi" w:hAnsiTheme="minorHAnsi"/>
                <w:color w:val="000000" w:themeColor="text1"/>
                <w:szCs w:val="22"/>
              </w:rPr>
            </w:pPr>
            <w:r w:rsidRPr="00AB7A96">
              <w:rPr>
                <w:rFonts w:asciiTheme="minorHAnsi" w:hAnsiTheme="minorHAnsi"/>
                <w:color w:val="000000" w:themeColor="text1"/>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rsidR="00AB7A96" w:rsidRPr="00AB7A96" w:rsidRDefault="00AB7A96" w:rsidP="00AB7A96">
            <w:pPr>
              <w:spacing w:before="0" w:line="276" w:lineRule="auto"/>
              <w:jc w:val="both"/>
              <w:rPr>
                <w:rFonts w:asciiTheme="minorHAnsi" w:hAnsiTheme="minorHAnsi"/>
                <w:color w:val="000000" w:themeColor="text1"/>
                <w:szCs w:val="22"/>
              </w:rPr>
            </w:pPr>
            <w:r w:rsidRPr="00AB7A96">
              <w:rPr>
                <w:rFonts w:asciiTheme="minorHAnsi" w:hAnsiTheme="minorHAnsi"/>
                <w:color w:val="000000" w:themeColor="text1"/>
                <w:szCs w:val="22"/>
              </w:rPr>
              <w:t>w  przypadku  budynków  mieszkalnych  i  budynków  użyteczności  publicznej:  zespół  urządzeń służących do wytwarzania energii elektrycznej z OZE.</w:t>
            </w:r>
          </w:p>
          <w:p w:rsidR="00AB7A96" w:rsidRPr="00AB7A96" w:rsidRDefault="00AB7A96" w:rsidP="00AB7A96">
            <w:pPr>
              <w:spacing w:before="0" w:line="276" w:lineRule="auto"/>
              <w:jc w:val="both"/>
              <w:rPr>
                <w:rFonts w:asciiTheme="minorHAnsi" w:hAnsiTheme="minorHAnsi"/>
                <w:color w:val="000000" w:themeColor="text1"/>
                <w:szCs w:val="22"/>
              </w:rPr>
            </w:pPr>
          </w:p>
          <w:p w:rsidR="00A603C0" w:rsidRPr="00AB7A96" w:rsidRDefault="00AB7A96" w:rsidP="00AB7A96">
            <w:pPr>
              <w:spacing w:before="0" w:line="240" w:lineRule="auto"/>
              <w:rPr>
                <w:rFonts w:asciiTheme="minorHAnsi" w:hAnsiTheme="minorHAnsi"/>
                <w:szCs w:val="22"/>
                <w:u w:val="single"/>
              </w:rPr>
            </w:pPr>
            <w:r w:rsidRPr="00AB7A96">
              <w:rPr>
                <w:rFonts w:asciiTheme="minorHAnsi" w:hAnsiTheme="minorHAnsi"/>
                <w:color w:val="000000" w:themeColor="text1"/>
                <w:szCs w:val="22"/>
              </w:rPr>
              <w:t>Odnawialne źródło energii zgodnie z ustawą z dnia 20 lutego 2015 r. o odnawialnych źródłach energii (Dz. U. poz. 478 z późn. zm.);</w:t>
            </w:r>
          </w:p>
        </w:tc>
        <w:tc>
          <w:tcPr>
            <w:tcW w:w="883" w:type="pct"/>
          </w:tcPr>
          <w:p w:rsidR="00A603C0" w:rsidRPr="00AB7A96" w:rsidRDefault="00A603C0" w:rsidP="00A603C0">
            <w:pPr>
              <w:spacing w:before="0" w:line="240" w:lineRule="auto"/>
              <w:jc w:val="center"/>
              <w:rPr>
                <w:rFonts w:asciiTheme="minorHAnsi" w:hAnsiTheme="minorHAnsi"/>
                <w:szCs w:val="22"/>
              </w:rPr>
            </w:pPr>
          </w:p>
          <w:p w:rsidR="00A603C0" w:rsidRPr="00AB7A96" w:rsidRDefault="00A603C0" w:rsidP="00A603C0">
            <w:pPr>
              <w:spacing w:before="0" w:line="240" w:lineRule="auto"/>
              <w:jc w:val="center"/>
              <w:rPr>
                <w:rFonts w:asciiTheme="minorHAnsi" w:hAnsiTheme="minorHAnsi"/>
                <w:szCs w:val="22"/>
              </w:rPr>
            </w:pPr>
            <w:r w:rsidRPr="00AB7A96">
              <w:rPr>
                <w:rFonts w:asciiTheme="minorHAnsi" w:hAnsiTheme="minorHAnsi"/>
                <w:szCs w:val="22"/>
              </w:rPr>
              <w:t>RPO WD</w:t>
            </w:r>
          </w:p>
          <w:p w:rsidR="00A603C0" w:rsidRPr="00AB7A96" w:rsidRDefault="00A603C0" w:rsidP="00A603C0">
            <w:pPr>
              <w:spacing w:before="0" w:line="240" w:lineRule="auto"/>
              <w:jc w:val="center"/>
              <w:rPr>
                <w:rFonts w:asciiTheme="minorHAnsi" w:hAnsiTheme="minorHAnsi"/>
                <w:szCs w:val="22"/>
              </w:rPr>
            </w:pPr>
            <w:r w:rsidRPr="00AB7A96">
              <w:rPr>
                <w:rFonts w:asciiTheme="minorHAnsi" w:hAnsiTheme="minorHAnsi"/>
                <w:szCs w:val="22"/>
              </w:rPr>
              <w:t>2014-2020</w:t>
            </w:r>
          </w:p>
        </w:tc>
      </w:tr>
      <w:tr w:rsidR="00A603C0" w:rsidRPr="00AB7A96" w:rsidTr="00181293">
        <w:trPr>
          <w:trHeight w:val="1121"/>
          <w:jc w:val="center"/>
        </w:trPr>
        <w:tc>
          <w:tcPr>
            <w:tcW w:w="1185" w:type="pct"/>
            <w:shd w:val="clear" w:color="auto" w:fill="auto"/>
          </w:tcPr>
          <w:p w:rsidR="00A603C0" w:rsidRPr="00AB7A96" w:rsidRDefault="00A603C0" w:rsidP="00187C0F">
            <w:pPr>
              <w:rPr>
                <w:rFonts w:cs="Arial"/>
                <w:sz w:val="20"/>
              </w:rPr>
            </w:pPr>
            <w:r w:rsidRPr="00AB7A96">
              <w:rPr>
                <w:rFonts w:cs="Arial"/>
                <w:sz w:val="20"/>
              </w:rPr>
              <w:t>Liczba wybudowanych jednostek wytwarzania energii cieplnej z OZE</w:t>
            </w:r>
          </w:p>
        </w:tc>
        <w:tc>
          <w:tcPr>
            <w:tcW w:w="601" w:type="pct"/>
          </w:tcPr>
          <w:p w:rsidR="00A603C0" w:rsidRPr="00AB7A96" w:rsidRDefault="00A603C0" w:rsidP="00187C0F">
            <w:pPr>
              <w:spacing w:before="0" w:line="240" w:lineRule="auto"/>
              <w:rPr>
                <w:rFonts w:asciiTheme="minorHAnsi" w:hAnsiTheme="minorHAnsi" w:cs="ArialNarrow"/>
              </w:rPr>
            </w:pPr>
          </w:p>
          <w:p w:rsidR="00A603C0" w:rsidRPr="00AB7A96" w:rsidRDefault="00A603C0" w:rsidP="00187C0F">
            <w:pPr>
              <w:spacing w:before="0" w:line="240" w:lineRule="auto"/>
              <w:rPr>
                <w:rFonts w:asciiTheme="minorHAnsi" w:hAnsiTheme="minorHAnsi" w:cs="ArialNarrow"/>
              </w:rPr>
            </w:pPr>
          </w:p>
          <w:p w:rsidR="00A603C0" w:rsidRPr="00AB7A96" w:rsidRDefault="00A603C0" w:rsidP="00A603C0">
            <w:pPr>
              <w:spacing w:before="0" w:line="240" w:lineRule="auto"/>
              <w:jc w:val="center"/>
              <w:rPr>
                <w:rFonts w:asciiTheme="minorHAnsi" w:hAnsiTheme="minorHAnsi" w:cs="ArialNarrow"/>
              </w:rPr>
            </w:pPr>
            <w:r w:rsidRPr="00AB7A96">
              <w:rPr>
                <w:rFonts w:asciiTheme="minorHAnsi" w:hAnsiTheme="minorHAnsi" w:cs="ArialNarrow"/>
              </w:rPr>
              <w:t>Szt.</w:t>
            </w:r>
          </w:p>
        </w:tc>
        <w:tc>
          <w:tcPr>
            <w:tcW w:w="2331" w:type="pct"/>
            <w:shd w:val="clear" w:color="auto" w:fill="auto"/>
          </w:tcPr>
          <w:p w:rsidR="004E719F" w:rsidRPr="00AB7A96" w:rsidRDefault="004E719F" w:rsidP="004E719F">
            <w:pPr>
              <w:autoSpaceDE w:val="0"/>
              <w:autoSpaceDN w:val="0"/>
              <w:adjustRightInd w:val="0"/>
              <w:spacing w:before="0" w:line="240" w:lineRule="auto"/>
              <w:jc w:val="both"/>
              <w:rPr>
                <w:rFonts w:asciiTheme="minorHAnsi" w:hAnsiTheme="minorHAnsi" w:cs="TimesNewRoman,Bold"/>
                <w:szCs w:val="22"/>
              </w:rPr>
            </w:pPr>
            <w:r w:rsidRPr="00AB7A96">
              <w:rPr>
                <w:rFonts w:asciiTheme="minorHAnsi" w:hAnsiTheme="minorHAnsi" w:cs="TimesNewRoman,Bold"/>
                <w:szCs w:val="22"/>
              </w:rPr>
              <w:t xml:space="preserve">Jednostka wytwarzania energii cieplnej obejmuje: </w:t>
            </w:r>
          </w:p>
          <w:p w:rsidR="004E719F" w:rsidRPr="00AB7A96" w:rsidRDefault="004E719F" w:rsidP="004E719F">
            <w:pPr>
              <w:autoSpaceDE w:val="0"/>
              <w:autoSpaceDN w:val="0"/>
              <w:adjustRightInd w:val="0"/>
              <w:spacing w:before="0" w:line="240" w:lineRule="auto"/>
              <w:jc w:val="both"/>
              <w:rPr>
                <w:rFonts w:asciiTheme="minorHAnsi" w:hAnsiTheme="minorHAnsi" w:cs="TimesNewRoman,Bold"/>
                <w:szCs w:val="22"/>
              </w:rPr>
            </w:pPr>
            <w:r w:rsidRPr="00AB7A96">
              <w:rPr>
                <w:rFonts w:asciiTheme="minorHAnsi" w:hAnsiTheme="minorHAnsi" w:cs="TimesNewRoman,Bold"/>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rsidR="004E719F" w:rsidRPr="00AB7A96" w:rsidRDefault="004E719F" w:rsidP="004E719F">
            <w:pPr>
              <w:autoSpaceDE w:val="0"/>
              <w:autoSpaceDN w:val="0"/>
              <w:adjustRightInd w:val="0"/>
              <w:spacing w:before="0" w:line="240" w:lineRule="auto"/>
              <w:jc w:val="both"/>
              <w:rPr>
                <w:rFonts w:asciiTheme="minorHAnsi" w:hAnsiTheme="minorHAnsi" w:cs="TimesNewRoman,Bold"/>
                <w:szCs w:val="22"/>
              </w:rPr>
            </w:pPr>
            <w:r w:rsidRPr="00AB7A96">
              <w:rPr>
                <w:rFonts w:asciiTheme="minorHAnsi" w:hAnsiTheme="minorHAnsi" w:cs="TimesNewRoman,Bold"/>
                <w:szCs w:val="22"/>
              </w:rPr>
              <w:t>w przypadku budynków mieszkalnych i budynków użyteczności publicznej: zespół urządzeń służących do wytwarzania energii cieplnej z OZE.</w:t>
            </w:r>
          </w:p>
          <w:p w:rsidR="004E719F" w:rsidRPr="00AB7A96" w:rsidRDefault="004E719F" w:rsidP="004E719F">
            <w:pPr>
              <w:autoSpaceDE w:val="0"/>
              <w:autoSpaceDN w:val="0"/>
              <w:adjustRightInd w:val="0"/>
              <w:spacing w:before="0" w:line="240" w:lineRule="auto"/>
              <w:jc w:val="both"/>
              <w:rPr>
                <w:rFonts w:asciiTheme="minorHAnsi" w:hAnsiTheme="minorHAnsi" w:cs="TimesNewRoman,Bold"/>
                <w:szCs w:val="22"/>
              </w:rPr>
            </w:pPr>
          </w:p>
          <w:p w:rsidR="00A603C0" w:rsidRPr="00AB7A96" w:rsidRDefault="004E719F" w:rsidP="004E719F">
            <w:pPr>
              <w:spacing w:before="0" w:line="240" w:lineRule="auto"/>
              <w:rPr>
                <w:rFonts w:asciiTheme="minorHAnsi" w:hAnsiTheme="minorHAnsi"/>
                <w:szCs w:val="22"/>
                <w:u w:val="single"/>
              </w:rPr>
            </w:pPr>
            <w:r w:rsidRPr="00AB7A96">
              <w:rPr>
                <w:rFonts w:asciiTheme="minorHAnsi" w:hAnsiTheme="minorHAnsi" w:cs="TimesNewRoman,Bold"/>
                <w:szCs w:val="22"/>
              </w:rPr>
              <w:t>Odnawialne źródła energii – rozumiane zgodnie z ustawą z dnia 20 lutego 2015 r. o odnawialnych źródłach energii.</w:t>
            </w:r>
          </w:p>
        </w:tc>
        <w:tc>
          <w:tcPr>
            <w:tcW w:w="883" w:type="pct"/>
          </w:tcPr>
          <w:p w:rsidR="00A603C0" w:rsidRPr="00AB7A96" w:rsidRDefault="00A603C0" w:rsidP="00A603C0">
            <w:pPr>
              <w:spacing w:before="0" w:line="240" w:lineRule="auto"/>
              <w:jc w:val="center"/>
              <w:rPr>
                <w:rFonts w:asciiTheme="minorHAnsi" w:hAnsiTheme="minorHAnsi"/>
                <w:szCs w:val="22"/>
              </w:rPr>
            </w:pPr>
          </w:p>
          <w:p w:rsidR="00A603C0" w:rsidRPr="00AB7A96" w:rsidRDefault="00A603C0" w:rsidP="00A603C0">
            <w:pPr>
              <w:spacing w:before="0" w:line="240" w:lineRule="auto"/>
              <w:jc w:val="center"/>
              <w:rPr>
                <w:rFonts w:asciiTheme="minorHAnsi" w:hAnsiTheme="minorHAnsi"/>
                <w:szCs w:val="22"/>
              </w:rPr>
            </w:pPr>
          </w:p>
          <w:p w:rsidR="00A603C0" w:rsidRPr="00AB7A96" w:rsidRDefault="00A603C0" w:rsidP="00A603C0">
            <w:pPr>
              <w:spacing w:before="0" w:line="240" w:lineRule="auto"/>
              <w:jc w:val="center"/>
              <w:rPr>
                <w:rFonts w:asciiTheme="minorHAnsi" w:hAnsiTheme="minorHAnsi"/>
                <w:szCs w:val="22"/>
              </w:rPr>
            </w:pPr>
            <w:r w:rsidRPr="00AB7A96">
              <w:rPr>
                <w:rFonts w:asciiTheme="minorHAnsi" w:hAnsiTheme="minorHAnsi"/>
                <w:szCs w:val="22"/>
              </w:rPr>
              <w:t>RPO WD</w:t>
            </w:r>
          </w:p>
          <w:p w:rsidR="00A603C0" w:rsidRPr="00AB7A96" w:rsidRDefault="00A603C0" w:rsidP="00A603C0">
            <w:pPr>
              <w:spacing w:before="0" w:line="240" w:lineRule="auto"/>
              <w:jc w:val="center"/>
              <w:rPr>
                <w:rFonts w:asciiTheme="minorHAnsi" w:hAnsiTheme="minorHAnsi"/>
                <w:szCs w:val="22"/>
              </w:rPr>
            </w:pPr>
            <w:r w:rsidRPr="00AB7A96">
              <w:rPr>
                <w:rFonts w:asciiTheme="minorHAnsi" w:hAnsiTheme="minorHAnsi"/>
                <w:szCs w:val="22"/>
              </w:rPr>
              <w:t>2014-2020</w:t>
            </w:r>
          </w:p>
        </w:tc>
      </w:tr>
      <w:tr w:rsidR="00A603C0" w:rsidRPr="00AB7A96" w:rsidTr="00181293">
        <w:trPr>
          <w:trHeight w:val="1121"/>
          <w:jc w:val="center"/>
        </w:trPr>
        <w:tc>
          <w:tcPr>
            <w:tcW w:w="1185" w:type="pct"/>
            <w:shd w:val="clear" w:color="auto" w:fill="auto"/>
          </w:tcPr>
          <w:p w:rsidR="00A603C0" w:rsidRPr="00AB7A96" w:rsidRDefault="00A603C0" w:rsidP="00187C0F">
            <w:pPr>
              <w:rPr>
                <w:rFonts w:cs="Arial"/>
                <w:sz w:val="20"/>
              </w:rPr>
            </w:pPr>
            <w:r w:rsidRPr="00AB7A96">
              <w:rPr>
                <w:rFonts w:cs="Arial"/>
                <w:sz w:val="20"/>
              </w:rPr>
              <w:lastRenderedPageBreak/>
              <w:t>Liczba przebudowanych jednostek wytwarzania energii cieplnej z OZE</w:t>
            </w:r>
          </w:p>
        </w:tc>
        <w:tc>
          <w:tcPr>
            <w:tcW w:w="601" w:type="pct"/>
          </w:tcPr>
          <w:p w:rsidR="00A603C0" w:rsidRPr="00AB7A96" w:rsidRDefault="00A603C0" w:rsidP="00187C0F">
            <w:pPr>
              <w:spacing w:before="0" w:line="240" w:lineRule="auto"/>
              <w:rPr>
                <w:rFonts w:asciiTheme="minorHAnsi" w:hAnsiTheme="minorHAnsi" w:cs="ArialNarrow"/>
              </w:rPr>
            </w:pPr>
          </w:p>
          <w:p w:rsidR="00A603C0" w:rsidRPr="00AB7A96" w:rsidRDefault="00A603C0" w:rsidP="00187C0F">
            <w:pPr>
              <w:spacing w:before="0" w:line="240" w:lineRule="auto"/>
              <w:rPr>
                <w:rFonts w:asciiTheme="minorHAnsi" w:hAnsiTheme="minorHAnsi" w:cs="ArialNarrow"/>
              </w:rPr>
            </w:pPr>
          </w:p>
          <w:p w:rsidR="00A603C0" w:rsidRPr="00AB7A96" w:rsidRDefault="00A603C0" w:rsidP="00187C0F">
            <w:pPr>
              <w:spacing w:before="0" w:line="240" w:lineRule="auto"/>
              <w:rPr>
                <w:rFonts w:asciiTheme="minorHAnsi" w:hAnsiTheme="minorHAnsi" w:cs="ArialNarrow"/>
              </w:rPr>
            </w:pPr>
          </w:p>
          <w:p w:rsidR="00A603C0" w:rsidRPr="00AB7A96" w:rsidRDefault="00A603C0" w:rsidP="00A603C0">
            <w:pPr>
              <w:spacing w:before="0" w:line="240" w:lineRule="auto"/>
              <w:jc w:val="center"/>
              <w:rPr>
                <w:rFonts w:asciiTheme="minorHAnsi" w:hAnsiTheme="minorHAnsi" w:cs="ArialNarrow"/>
              </w:rPr>
            </w:pPr>
            <w:r w:rsidRPr="00AB7A96">
              <w:rPr>
                <w:rFonts w:asciiTheme="minorHAnsi" w:hAnsiTheme="minorHAnsi" w:cs="ArialNarrow"/>
              </w:rPr>
              <w:t>Szt.</w:t>
            </w:r>
          </w:p>
        </w:tc>
        <w:tc>
          <w:tcPr>
            <w:tcW w:w="2331" w:type="pct"/>
            <w:shd w:val="clear" w:color="auto" w:fill="auto"/>
          </w:tcPr>
          <w:p w:rsidR="00AB7A96" w:rsidRPr="00AB7A96" w:rsidRDefault="00AB7A96" w:rsidP="00AB7A96">
            <w:pPr>
              <w:spacing w:before="0" w:line="276" w:lineRule="auto"/>
              <w:jc w:val="both"/>
              <w:rPr>
                <w:rFonts w:asciiTheme="minorHAnsi" w:hAnsiTheme="minorHAnsi"/>
                <w:color w:val="000000" w:themeColor="text1"/>
                <w:szCs w:val="22"/>
              </w:rPr>
            </w:pPr>
            <w:r w:rsidRPr="00AB7A96">
              <w:rPr>
                <w:rFonts w:asciiTheme="minorHAnsi" w:hAnsiTheme="minorHAnsi"/>
                <w:color w:val="000000" w:themeColor="text1"/>
                <w:szCs w:val="22"/>
              </w:rPr>
              <w:t>Jednostka wytwarzania energii elektrycznej obejmuje:</w:t>
            </w:r>
          </w:p>
          <w:p w:rsidR="00AB7A96" w:rsidRPr="00AB7A96" w:rsidRDefault="00AB7A96" w:rsidP="00AB7A96">
            <w:pPr>
              <w:spacing w:before="0" w:line="276" w:lineRule="auto"/>
              <w:jc w:val="both"/>
              <w:rPr>
                <w:rFonts w:asciiTheme="minorHAnsi" w:hAnsiTheme="minorHAnsi"/>
                <w:color w:val="000000" w:themeColor="text1"/>
                <w:szCs w:val="22"/>
              </w:rPr>
            </w:pPr>
            <w:r w:rsidRPr="00AB7A96">
              <w:rPr>
                <w:rFonts w:asciiTheme="minorHAnsi" w:hAnsiTheme="minorHAnsi"/>
                <w:color w:val="000000" w:themeColor="text1"/>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rsidR="00AB7A96" w:rsidRPr="00AB7A96" w:rsidRDefault="00AB7A96" w:rsidP="00AB7A96">
            <w:pPr>
              <w:spacing w:before="0" w:line="276" w:lineRule="auto"/>
              <w:jc w:val="both"/>
              <w:rPr>
                <w:rFonts w:asciiTheme="minorHAnsi" w:hAnsiTheme="minorHAnsi"/>
                <w:color w:val="000000" w:themeColor="text1"/>
                <w:szCs w:val="22"/>
              </w:rPr>
            </w:pPr>
            <w:r w:rsidRPr="00AB7A96">
              <w:rPr>
                <w:rFonts w:asciiTheme="minorHAnsi" w:hAnsiTheme="minorHAnsi"/>
                <w:color w:val="000000" w:themeColor="text1"/>
                <w:szCs w:val="22"/>
              </w:rPr>
              <w:t>w  przypadku  budynków  mieszkalnych  i  budynków  użyteczności  publicznej:  zespół  urządzeń służących do wytwarzania energii cieplnej z OZE.</w:t>
            </w:r>
          </w:p>
          <w:p w:rsidR="00AB7A96" w:rsidRPr="00AB7A96" w:rsidRDefault="00AB7A96" w:rsidP="00AB7A96">
            <w:pPr>
              <w:spacing w:before="0" w:line="276" w:lineRule="auto"/>
              <w:jc w:val="both"/>
              <w:rPr>
                <w:rFonts w:asciiTheme="minorHAnsi" w:hAnsiTheme="minorHAnsi"/>
                <w:color w:val="000000" w:themeColor="text1"/>
                <w:szCs w:val="22"/>
              </w:rPr>
            </w:pPr>
          </w:p>
          <w:p w:rsidR="00A603C0" w:rsidRPr="00AB7A96" w:rsidRDefault="00AB7A96" w:rsidP="00AB7A96">
            <w:pPr>
              <w:spacing w:before="0" w:line="240" w:lineRule="auto"/>
              <w:rPr>
                <w:rFonts w:asciiTheme="minorHAnsi" w:hAnsiTheme="minorHAnsi"/>
                <w:szCs w:val="22"/>
                <w:u w:val="single"/>
              </w:rPr>
            </w:pPr>
            <w:r w:rsidRPr="00AB7A96">
              <w:rPr>
                <w:rFonts w:asciiTheme="minorHAnsi" w:hAnsiTheme="minorHAnsi"/>
                <w:color w:val="000000" w:themeColor="text1"/>
                <w:szCs w:val="22"/>
              </w:rPr>
              <w:t>Odnawialne źródło energii zgodnie z ustawą z dnia 20 lutego 2015 r. o odnawialnych źródłach energii (Dz. U. poz. 478 z późn. zm.);</w:t>
            </w:r>
          </w:p>
        </w:tc>
        <w:tc>
          <w:tcPr>
            <w:tcW w:w="883" w:type="pct"/>
          </w:tcPr>
          <w:p w:rsidR="00A603C0" w:rsidRPr="00AB7A96" w:rsidRDefault="00A603C0" w:rsidP="00A603C0">
            <w:pPr>
              <w:spacing w:before="0" w:line="240" w:lineRule="auto"/>
              <w:jc w:val="center"/>
              <w:rPr>
                <w:rFonts w:asciiTheme="minorHAnsi" w:hAnsiTheme="minorHAnsi"/>
                <w:szCs w:val="22"/>
              </w:rPr>
            </w:pPr>
          </w:p>
          <w:p w:rsidR="00A603C0" w:rsidRPr="00AB7A96" w:rsidRDefault="00A603C0" w:rsidP="00A603C0">
            <w:pPr>
              <w:spacing w:before="0" w:line="240" w:lineRule="auto"/>
              <w:jc w:val="center"/>
              <w:rPr>
                <w:rFonts w:asciiTheme="minorHAnsi" w:hAnsiTheme="minorHAnsi"/>
                <w:szCs w:val="22"/>
              </w:rPr>
            </w:pPr>
          </w:p>
          <w:p w:rsidR="00A603C0" w:rsidRPr="00AB7A96" w:rsidRDefault="00A603C0" w:rsidP="00A603C0">
            <w:pPr>
              <w:spacing w:before="0" w:line="240" w:lineRule="auto"/>
              <w:jc w:val="center"/>
              <w:rPr>
                <w:rFonts w:asciiTheme="minorHAnsi" w:hAnsiTheme="minorHAnsi"/>
                <w:szCs w:val="22"/>
              </w:rPr>
            </w:pPr>
            <w:r w:rsidRPr="00AB7A96">
              <w:rPr>
                <w:rFonts w:asciiTheme="minorHAnsi" w:hAnsiTheme="minorHAnsi"/>
                <w:szCs w:val="22"/>
              </w:rPr>
              <w:t>RPO WD</w:t>
            </w:r>
          </w:p>
          <w:p w:rsidR="00A603C0" w:rsidRPr="00AB7A96" w:rsidRDefault="00A603C0" w:rsidP="00A603C0">
            <w:pPr>
              <w:spacing w:before="0" w:line="240" w:lineRule="auto"/>
              <w:jc w:val="center"/>
              <w:rPr>
                <w:rFonts w:asciiTheme="minorHAnsi" w:hAnsiTheme="minorHAnsi"/>
                <w:szCs w:val="22"/>
              </w:rPr>
            </w:pPr>
            <w:r w:rsidRPr="00AB7A96">
              <w:rPr>
                <w:rFonts w:asciiTheme="minorHAnsi" w:hAnsiTheme="minorHAnsi"/>
                <w:szCs w:val="22"/>
              </w:rPr>
              <w:t>2014-2020</w:t>
            </w:r>
          </w:p>
        </w:tc>
      </w:tr>
      <w:tr w:rsidR="00A603C0" w:rsidRPr="00AB7A96" w:rsidTr="00181293">
        <w:trPr>
          <w:trHeight w:val="1121"/>
          <w:jc w:val="center"/>
        </w:trPr>
        <w:tc>
          <w:tcPr>
            <w:tcW w:w="1185" w:type="pct"/>
            <w:shd w:val="clear" w:color="auto" w:fill="auto"/>
          </w:tcPr>
          <w:p w:rsidR="00A603C0" w:rsidRPr="00AB7A96" w:rsidRDefault="00A603C0" w:rsidP="00187C0F">
            <w:pPr>
              <w:rPr>
                <w:rFonts w:cs="Arial"/>
                <w:sz w:val="20"/>
              </w:rPr>
            </w:pPr>
            <w:r w:rsidRPr="00AB7A96">
              <w:rPr>
                <w:rFonts w:cs="Arial"/>
                <w:sz w:val="20"/>
              </w:rPr>
              <w:t>Długość nowo wybudowanych sieci elektroenergetycznych dla odnawialnych źródeł energii</w:t>
            </w:r>
          </w:p>
        </w:tc>
        <w:tc>
          <w:tcPr>
            <w:tcW w:w="601" w:type="pct"/>
          </w:tcPr>
          <w:p w:rsidR="00A603C0" w:rsidRPr="00AB7A96" w:rsidRDefault="00A603C0" w:rsidP="00187C0F">
            <w:pPr>
              <w:spacing w:before="0" w:line="240" w:lineRule="auto"/>
              <w:rPr>
                <w:rFonts w:asciiTheme="minorHAnsi" w:hAnsiTheme="minorHAnsi" w:cs="ArialNarrow"/>
              </w:rPr>
            </w:pPr>
          </w:p>
          <w:p w:rsidR="00A603C0" w:rsidRPr="00AB7A96" w:rsidRDefault="00A603C0" w:rsidP="00187C0F">
            <w:pPr>
              <w:spacing w:before="0" w:line="240" w:lineRule="auto"/>
              <w:rPr>
                <w:rFonts w:asciiTheme="minorHAnsi" w:hAnsiTheme="minorHAnsi" w:cs="ArialNarrow"/>
              </w:rPr>
            </w:pPr>
          </w:p>
          <w:p w:rsidR="00A603C0" w:rsidRPr="00AB7A96" w:rsidRDefault="00A603C0" w:rsidP="00A603C0">
            <w:pPr>
              <w:spacing w:before="0" w:line="240" w:lineRule="auto"/>
              <w:jc w:val="center"/>
              <w:rPr>
                <w:rFonts w:asciiTheme="minorHAnsi" w:hAnsiTheme="minorHAnsi" w:cs="ArialNarrow"/>
              </w:rPr>
            </w:pPr>
            <w:r w:rsidRPr="00AB7A96">
              <w:rPr>
                <w:sz w:val="20"/>
              </w:rPr>
              <w:t>km</w:t>
            </w:r>
          </w:p>
        </w:tc>
        <w:tc>
          <w:tcPr>
            <w:tcW w:w="2331" w:type="pct"/>
            <w:shd w:val="clear" w:color="auto" w:fill="auto"/>
          </w:tcPr>
          <w:p w:rsidR="00AB7A96" w:rsidRPr="00AB7A96" w:rsidRDefault="00AB7A96" w:rsidP="00AB7A96">
            <w:pPr>
              <w:pStyle w:val="Default"/>
              <w:rPr>
                <w:rFonts w:asciiTheme="minorHAnsi" w:hAnsiTheme="minorHAnsi" w:cs="Times New Roman"/>
                <w:color w:val="000000" w:themeColor="text1"/>
                <w:sz w:val="22"/>
                <w:szCs w:val="22"/>
              </w:rPr>
            </w:pPr>
            <w:r w:rsidRPr="00AB7A96">
              <w:rPr>
                <w:rFonts w:asciiTheme="minorHAnsi" w:hAnsiTheme="minorHAnsi" w:cs="Times New Roman"/>
                <w:color w:val="000000" w:themeColor="text1"/>
                <w:sz w:val="22"/>
                <w:szCs w:val="22"/>
              </w:rPr>
              <w:t xml:space="preserve">Wskaźnik mierzy długość wybudowanych elektroenergetycznych sieci przesyłowych i dystrybucyjnych w wyniku realizacji projektu. Główną przyczyną budowy sieci w przypadku tego wskaźnika ma być powiększenie potencjału do przyłączania nowych odnawialnych źródeł energii do sieci elektroenergetycznej. </w:t>
            </w:r>
          </w:p>
          <w:p w:rsidR="00A603C0" w:rsidRPr="00AB7A96" w:rsidRDefault="00AB7A96" w:rsidP="00AB7A96">
            <w:pPr>
              <w:spacing w:before="0" w:line="240" w:lineRule="auto"/>
              <w:rPr>
                <w:rFonts w:asciiTheme="minorHAnsi" w:hAnsiTheme="minorHAnsi"/>
                <w:szCs w:val="22"/>
                <w:u w:val="single"/>
              </w:rPr>
            </w:pPr>
            <w:r w:rsidRPr="00AB7A96">
              <w:rPr>
                <w:rFonts w:asciiTheme="minorHAnsi" w:hAnsiTheme="minorHAnsi"/>
                <w:color w:val="000000" w:themeColor="text1"/>
                <w:szCs w:val="22"/>
              </w:rPr>
              <w:t xml:space="preserve">Sieć elektroenergetyczna – zbiór przewodów elektrycznych i urządzeń powiązanych pod względem funkcjonalnym i połączonych elektrycznie, przeznaczonych do przesyłania, przetwarzania i rozdzielania na określonym terytorium wytworzonej w elektrowniach energii elektrycznej oraz do zasilania nią odbiorników. Sieci elektroenergetyczne dzieli się na: rodzaj prądu: zmiennoprądowe AC (większość) i stałoprądowe DC, wysokość napięcia: niskich napięć (nn) &lt; 1kV, średnich napięć (SN) &lt; 60 kV, wysokich napięć (WN) ≤ 220 kV i najwyższych napięć (NN) ≥ 400 kV. Wyróżnić można w niej takie elementy jak: sieć przesyłowa składająca się z sieci wysokiego napięcia oraz sieci najwyższego napięcia oraz sieć dystrybucyjna (sieć </w:t>
            </w:r>
            <w:r w:rsidRPr="00AB7A96">
              <w:rPr>
                <w:rFonts w:asciiTheme="minorHAnsi" w:hAnsiTheme="minorHAnsi"/>
                <w:color w:val="000000" w:themeColor="text1"/>
                <w:szCs w:val="22"/>
              </w:rPr>
              <w:lastRenderedPageBreak/>
              <w:t>rozdzielcza) składająca się z sieci średniego napięcia oraz sieci niskiego napięcia.</w:t>
            </w:r>
            <w:r w:rsidRPr="00AB7A96">
              <w:rPr>
                <w:sz w:val="18"/>
                <w:szCs w:val="18"/>
              </w:rPr>
              <w:t xml:space="preserve"> </w:t>
            </w:r>
          </w:p>
        </w:tc>
        <w:tc>
          <w:tcPr>
            <w:tcW w:w="883" w:type="pct"/>
          </w:tcPr>
          <w:p w:rsidR="00A603C0" w:rsidRPr="00AB7A96" w:rsidRDefault="00A603C0" w:rsidP="00A603C0">
            <w:pPr>
              <w:spacing w:before="0" w:line="240" w:lineRule="auto"/>
              <w:jc w:val="center"/>
              <w:rPr>
                <w:rFonts w:asciiTheme="minorHAnsi" w:hAnsiTheme="minorHAnsi"/>
                <w:szCs w:val="22"/>
              </w:rPr>
            </w:pPr>
          </w:p>
          <w:p w:rsidR="00A603C0" w:rsidRPr="00AB7A96" w:rsidRDefault="00A603C0" w:rsidP="00A603C0">
            <w:pPr>
              <w:spacing w:before="0" w:line="240" w:lineRule="auto"/>
              <w:jc w:val="center"/>
              <w:rPr>
                <w:rFonts w:asciiTheme="minorHAnsi" w:hAnsiTheme="minorHAnsi"/>
                <w:szCs w:val="22"/>
              </w:rPr>
            </w:pPr>
          </w:p>
          <w:p w:rsidR="00A603C0" w:rsidRPr="00AB7A96" w:rsidRDefault="00A603C0" w:rsidP="00A603C0">
            <w:pPr>
              <w:spacing w:before="0" w:line="240" w:lineRule="auto"/>
              <w:jc w:val="center"/>
              <w:rPr>
                <w:rFonts w:asciiTheme="minorHAnsi" w:hAnsiTheme="minorHAnsi"/>
                <w:szCs w:val="22"/>
              </w:rPr>
            </w:pPr>
            <w:r w:rsidRPr="00AB7A96">
              <w:rPr>
                <w:rFonts w:asciiTheme="minorHAnsi" w:hAnsiTheme="minorHAnsi"/>
                <w:szCs w:val="22"/>
              </w:rPr>
              <w:t>RPO WD</w:t>
            </w:r>
          </w:p>
          <w:p w:rsidR="00A603C0" w:rsidRPr="00AB7A96" w:rsidRDefault="00A603C0" w:rsidP="00A603C0">
            <w:pPr>
              <w:spacing w:before="0" w:line="240" w:lineRule="auto"/>
              <w:jc w:val="center"/>
              <w:rPr>
                <w:rFonts w:asciiTheme="minorHAnsi" w:hAnsiTheme="minorHAnsi"/>
                <w:szCs w:val="22"/>
              </w:rPr>
            </w:pPr>
            <w:r w:rsidRPr="00AB7A96">
              <w:rPr>
                <w:rFonts w:asciiTheme="minorHAnsi" w:hAnsiTheme="minorHAnsi"/>
                <w:szCs w:val="22"/>
              </w:rPr>
              <w:t>2014-2020</w:t>
            </w:r>
          </w:p>
        </w:tc>
      </w:tr>
      <w:tr w:rsidR="00A603C0" w:rsidRPr="00AB7A96" w:rsidTr="00181293">
        <w:trPr>
          <w:trHeight w:val="1121"/>
          <w:jc w:val="center"/>
        </w:trPr>
        <w:tc>
          <w:tcPr>
            <w:tcW w:w="1185" w:type="pct"/>
            <w:shd w:val="clear" w:color="auto" w:fill="auto"/>
          </w:tcPr>
          <w:p w:rsidR="00A603C0" w:rsidRPr="00AB7A96" w:rsidRDefault="00A603C0" w:rsidP="00187C0F">
            <w:pPr>
              <w:rPr>
                <w:rFonts w:cs="Arial"/>
                <w:sz w:val="20"/>
              </w:rPr>
            </w:pPr>
            <w:r w:rsidRPr="00AB7A96">
              <w:rPr>
                <w:rFonts w:cs="Arial"/>
                <w:sz w:val="20"/>
              </w:rPr>
              <w:lastRenderedPageBreak/>
              <w:t>Długość zmodernizowanych sieci elektroenergetycznych dla odnawialnych źródeł energii</w:t>
            </w:r>
          </w:p>
        </w:tc>
        <w:tc>
          <w:tcPr>
            <w:tcW w:w="601" w:type="pct"/>
          </w:tcPr>
          <w:p w:rsidR="00A603C0" w:rsidRPr="00AB7A96" w:rsidRDefault="00A603C0" w:rsidP="00187C0F">
            <w:pPr>
              <w:spacing w:before="0" w:line="240" w:lineRule="auto"/>
              <w:rPr>
                <w:rFonts w:asciiTheme="minorHAnsi" w:hAnsiTheme="minorHAnsi" w:cs="ArialNarrow"/>
              </w:rPr>
            </w:pPr>
          </w:p>
          <w:p w:rsidR="00A603C0" w:rsidRPr="00AB7A96" w:rsidRDefault="00A603C0" w:rsidP="00187C0F">
            <w:pPr>
              <w:spacing w:before="0" w:line="240" w:lineRule="auto"/>
              <w:rPr>
                <w:rFonts w:asciiTheme="minorHAnsi" w:hAnsiTheme="minorHAnsi" w:cs="ArialNarrow"/>
              </w:rPr>
            </w:pPr>
          </w:p>
          <w:p w:rsidR="00A603C0" w:rsidRPr="00AB7A96" w:rsidRDefault="00A603C0" w:rsidP="00187C0F">
            <w:pPr>
              <w:spacing w:before="0" w:line="240" w:lineRule="auto"/>
              <w:rPr>
                <w:rFonts w:asciiTheme="minorHAnsi" w:hAnsiTheme="minorHAnsi" w:cs="ArialNarrow"/>
              </w:rPr>
            </w:pPr>
          </w:p>
          <w:p w:rsidR="00A603C0" w:rsidRPr="00AB7A96" w:rsidRDefault="00A603C0" w:rsidP="00A603C0">
            <w:pPr>
              <w:spacing w:before="0" w:line="240" w:lineRule="auto"/>
              <w:jc w:val="center"/>
              <w:rPr>
                <w:rFonts w:asciiTheme="minorHAnsi" w:hAnsiTheme="minorHAnsi" w:cs="ArialNarrow"/>
              </w:rPr>
            </w:pPr>
            <w:r w:rsidRPr="00AB7A96">
              <w:rPr>
                <w:sz w:val="20"/>
              </w:rPr>
              <w:t>km</w:t>
            </w:r>
          </w:p>
        </w:tc>
        <w:tc>
          <w:tcPr>
            <w:tcW w:w="2331" w:type="pct"/>
            <w:shd w:val="clear" w:color="auto" w:fill="auto"/>
          </w:tcPr>
          <w:p w:rsidR="00AB7A96" w:rsidRPr="00527E6C" w:rsidRDefault="00AB7A96" w:rsidP="00AB7A96">
            <w:pPr>
              <w:pStyle w:val="Default"/>
              <w:rPr>
                <w:rFonts w:asciiTheme="minorHAnsi" w:hAnsiTheme="minorHAnsi" w:cs="Times New Roman"/>
                <w:color w:val="000000" w:themeColor="text1"/>
                <w:sz w:val="22"/>
                <w:szCs w:val="22"/>
              </w:rPr>
            </w:pPr>
            <w:r w:rsidRPr="00527E6C">
              <w:rPr>
                <w:rFonts w:asciiTheme="minorHAnsi" w:hAnsiTheme="minorHAnsi" w:cs="Times New Roman"/>
                <w:color w:val="000000" w:themeColor="text1"/>
                <w:sz w:val="22"/>
                <w:szCs w:val="22"/>
              </w:rPr>
              <w:t xml:space="preserve">Wskaźnik mierzy długość przebudowanych elektroenergetycznych sieci przesyłowych i dystrybucyjnych w wyniku realizacji projektu. Główną przyczyną przebudowy sieci w przypadku tego wskaźnika ma być powiększenie potencjału do przyłączania nowych odnawialnych źródeł energii do sieci elektroenergetycznej. </w:t>
            </w:r>
          </w:p>
          <w:p w:rsidR="00A603C0" w:rsidRPr="00AB7A96" w:rsidRDefault="00AB7A96" w:rsidP="00AB7A96">
            <w:pPr>
              <w:spacing w:before="0" w:line="240" w:lineRule="auto"/>
              <w:rPr>
                <w:rFonts w:asciiTheme="minorHAnsi" w:hAnsiTheme="minorHAnsi"/>
                <w:szCs w:val="22"/>
                <w:u w:val="single"/>
              </w:rPr>
            </w:pPr>
            <w:r w:rsidRPr="00527E6C">
              <w:rPr>
                <w:rFonts w:asciiTheme="minorHAnsi" w:hAnsiTheme="minorHAnsi"/>
                <w:color w:val="000000" w:themeColor="text1"/>
                <w:szCs w:val="22"/>
              </w:rPr>
              <w:t xml:space="preserve">Sieć elektroenergetyczna – zbiór przewodów elektrycznych i urządzeń powiązanych pod względem funkcjonalnym i połączonych elektrycznie, przeznaczonych do przesyłania, przetwarzania i rozdzielania na określonym terytorium wytworzonej w elektrowniach energii elektrycznej oraz do zasilania nią odbiorników. Sieci elektroenergetyczne dzieli się na: rodzaj prądu: zmiennoprądowe AC (większość) i stałoprądowe DC, wysokość napięcia: niskich napięć (nn) &lt; 1kV, średnich napięć (SN) &lt; 60 kV, wysokich napięć (WN) ≤ 220 kV i najwyższych napięć (NN) ≥ 400 kV. Wyróżnić można w niej takie elementy jak: sieć przesyłowa składająca się z sieci wysokiego napięcia oraz sieci najwyższego napięcia oraz sieć dystrybucyjna (sieć rozdzielcza) składająca się z sieci średniego napięcia oraz sieci niskiego napięcia. </w:t>
            </w:r>
          </w:p>
        </w:tc>
        <w:tc>
          <w:tcPr>
            <w:tcW w:w="883" w:type="pct"/>
          </w:tcPr>
          <w:p w:rsidR="00A603C0" w:rsidRPr="00AB7A96" w:rsidRDefault="00A603C0" w:rsidP="00A603C0">
            <w:pPr>
              <w:spacing w:before="0" w:line="240" w:lineRule="auto"/>
              <w:jc w:val="center"/>
              <w:rPr>
                <w:rFonts w:asciiTheme="minorHAnsi" w:hAnsiTheme="minorHAnsi"/>
                <w:szCs w:val="22"/>
              </w:rPr>
            </w:pPr>
          </w:p>
          <w:p w:rsidR="00A603C0" w:rsidRPr="00AB7A96" w:rsidRDefault="00A603C0" w:rsidP="00A603C0">
            <w:pPr>
              <w:spacing w:before="0" w:line="240" w:lineRule="auto"/>
              <w:jc w:val="center"/>
              <w:rPr>
                <w:rFonts w:asciiTheme="minorHAnsi" w:hAnsiTheme="minorHAnsi"/>
                <w:szCs w:val="22"/>
              </w:rPr>
            </w:pPr>
          </w:p>
          <w:p w:rsidR="00A603C0" w:rsidRPr="00AB7A96" w:rsidRDefault="00A603C0" w:rsidP="00A603C0">
            <w:pPr>
              <w:spacing w:before="0" w:line="240" w:lineRule="auto"/>
              <w:jc w:val="center"/>
              <w:rPr>
                <w:rFonts w:asciiTheme="minorHAnsi" w:hAnsiTheme="minorHAnsi"/>
                <w:szCs w:val="22"/>
              </w:rPr>
            </w:pPr>
            <w:r w:rsidRPr="00AB7A96">
              <w:rPr>
                <w:rFonts w:asciiTheme="minorHAnsi" w:hAnsiTheme="minorHAnsi"/>
                <w:szCs w:val="22"/>
              </w:rPr>
              <w:t>RPO WD</w:t>
            </w:r>
          </w:p>
          <w:p w:rsidR="00A603C0" w:rsidRPr="00AB7A96" w:rsidRDefault="00A603C0" w:rsidP="00A603C0">
            <w:pPr>
              <w:spacing w:before="0" w:line="240" w:lineRule="auto"/>
              <w:jc w:val="center"/>
              <w:rPr>
                <w:rFonts w:asciiTheme="minorHAnsi" w:hAnsiTheme="minorHAnsi"/>
                <w:szCs w:val="22"/>
              </w:rPr>
            </w:pPr>
            <w:r w:rsidRPr="00AB7A96">
              <w:rPr>
                <w:rFonts w:asciiTheme="minorHAnsi" w:hAnsiTheme="minorHAnsi"/>
                <w:szCs w:val="22"/>
              </w:rPr>
              <w:t>2014-2020</w:t>
            </w:r>
          </w:p>
        </w:tc>
      </w:tr>
      <w:tr w:rsidR="00A603C0" w:rsidRPr="00AB7A96" w:rsidTr="00181293">
        <w:trPr>
          <w:trHeight w:val="1121"/>
          <w:jc w:val="center"/>
        </w:trPr>
        <w:tc>
          <w:tcPr>
            <w:tcW w:w="1185" w:type="pct"/>
            <w:shd w:val="clear" w:color="auto" w:fill="auto"/>
          </w:tcPr>
          <w:p w:rsidR="00A603C0" w:rsidRPr="00AB7A96" w:rsidRDefault="00A603C0" w:rsidP="00187C0F">
            <w:pPr>
              <w:rPr>
                <w:rFonts w:cs="Arial"/>
                <w:sz w:val="20"/>
              </w:rPr>
            </w:pPr>
            <w:r w:rsidRPr="00AB7A96">
              <w:rPr>
                <w:rFonts w:cs="Arial"/>
                <w:sz w:val="20"/>
              </w:rPr>
              <w:t>Liczba przedsiębiorstw otrzymujących wsparcie</w:t>
            </w:r>
          </w:p>
        </w:tc>
        <w:tc>
          <w:tcPr>
            <w:tcW w:w="601" w:type="pct"/>
          </w:tcPr>
          <w:p w:rsidR="00A603C0" w:rsidRPr="00AB7A96" w:rsidRDefault="00A603C0" w:rsidP="00187C0F">
            <w:pPr>
              <w:spacing w:before="0" w:line="240" w:lineRule="auto"/>
              <w:rPr>
                <w:rFonts w:asciiTheme="minorHAnsi" w:hAnsiTheme="minorHAnsi" w:cs="ArialNarrow"/>
              </w:rPr>
            </w:pPr>
          </w:p>
          <w:p w:rsidR="00A603C0" w:rsidRPr="00AB7A96" w:rsidRDefault="00A603C0" w:rsidP="00187C0F">
            <w:pPr>
              <w:spacing w:before="0" w:line="240" w:lineRule="auto"/>
              <w:rPr>
                <w:rFonts w:asciiTheme="minorHAnsi" w:hAnsiTheme="minorHAnsi" w:cs="ArialNarrow"/>
              </w:rPr>
            </w:pPr>
            <w:r w:rsidRPr="00AB7A96">
              <w:rPr>
                <w:rFonts w:asciiTheme="minorHAnsi" w:hAnsiTheme="minorHAnsi" w:cs="ArialNarrow"/>
              </w:rPr>
              <w:t xml:space="preserve">Przedsiębiorstwa </w:t>
            </w:r>
          </w:p>
        </w:tc>
        <w:tc>
          <w:tcPr>
            <w:tcW w:w="2331" w:type="pct"/>
            <w:shd w:val="clear" w:color="auto" w:fill="auto"/>
          </w:tcPr>
          <w:p w:rsidR="00D11F7F" w:rsidRPr="00AB7A96" w:rsidRDefault="00D11F7F" w:rsidP="00D11F7F">
            <w:pPr>
              <w:spacing w:before="0" w:line="276" w:lineRule="auto"/>
              <w:jc w:val="both"/>
              <w:rPr>
                <w:rFonts w:asciiTheme="minorHAnsi" w:hAnsiTheme="minorHAnsi"/>
                <w:color w:val="000000" w:themeColor="text1"/>
                <w:szCs w:val="22"/>
                <w:lang w:val="en-US"/>
              </w:rPr>
            </w:pPr>
            <w:r w:rsidRPr="00AB7A96">
              <w:rPr>
                <w:rFonts w:asciiTheme="minorHAnsi" w:hAnsiTheme="minorHAnsi"/>
                <w:color w:val="000000" w:themeColor="text1"/>
                <w:szCs w:val="22"/>
                <w:lang w:val="en-US"/>
              </w:rPr>
              <w:t xml:space="preserve">Number of enterprises receiving support in any form from Structural Funds (whether the support represents state aid or not). </w:t>
            </w:r>
          </w:p>
          <w:p w:rsidR="00D11F7F" w:rsidRPr="00AB7A96" w:rsidRDefault="00D11F7F" w:rsidP="00D11F7F">
            <w:pPr>
              <w:spacing w:before="0" w:line="276" w:lineRule="auto"/>
              <w:jc w:val="both"/>
              <w:rPr>
                <w:rFonts w:asciiTheme="minorHAnsi" w:hAnsiTheme="minorHAnsi"/>
                <w:color w:val="000000" w:themeColor="text1"/>
                <w:szCs w:val="22"/>
                <w:lang w:val="en-US"/>
              </w:rPr>
            </w:pPr>
            <w:r w:rsidRPr="00AB7A96">
              <w:rPr>
                <w:rFonts w:asciiTheme="minorHAnsi" w:hAnsiTheme="minorHAnsi"/>
                <w:color w:val="000000" w:themeColor="text1"/>
                <w:szCs w:val="22"/>
                <w:lang w:val="en-US"/>
              </w:rPr>
              <w:t xml:space="preserve">Enterprise: </w:t>
            </w:r>
            <w:proofErr w:type="spellStart"/>
            <w:r w:rsidRPr="00AB7A96">
              <w:rPr>
                <w:rFonts w:asciiTheme="minorHAnsi" w:hAnsiTheme="minorHAnsi"/>
                <w:color w:val="000000" w:themeColor="text1"/>
                <w:szCs w:val="22"/>
                <w:lang w:val="en-US"/>
              </w:rPr>
              <w:t>Organisation</w:t>
            </w:r>
            <w:proofErr w:type="spellEnd"/>
            <w:r w:rsidRPr="00AB7A96">
              <w:rPr>
                <w:rFonts w:asciiTheme="minorHAnsi" w:hAnsiTheme="minorHAnsi"/>
                <w:color w:val="000000" w:themeColor="text1"/>
                <w:szCs w:val="22"/>
                <w:lang w:val="en-US"/>
              </w:rPr>
              <w:t xml:space="preserve"> producing products or services to satisfy market needs in order to reach </w:t>
            </w:r>
          </w:p>
          <w:p w:rsidR="00D11F7F" w:rsidRPr="00AB7A96" w:rsidRDefault="00D11F7F" w:rsidP="00D11F7F">
            <w:pPr>
              <w:spacing w:before="0" w:line="276" w:lineRule="auto"/>
              <w:jc w:val="both"/>
              <w:rPr>
                <w:rFonts w:asciiTheme="minorHAnsi" w:hAnsiTheme="minorHAnsi"/>
                <w:color w:val="000000" w:themeColor="text1"/>
                <w:szCs w:val="22"/>
                <w:lang w:val="en-US"/>
              </w:rPr>
            </w:pPr>
            <w:proofErr w:type="gramStart"/>
            <w:r w:rsidRPr="00AB7A96">
              <w:rPr>
                <w:rFonts w:asciiTheme="minorHAnsi" w:hAnsiTheme="minorHAnsi"/>
                <w:color w:val="000000" w:themeColor="text1"/>
                <w:szCs w:val="22"/>
                <w:lang w:val="en-US"/>
              </w:rPr>
              <w:t>profit</w:t>
            </w:r>
            <w:proofErr w:type="gramEnd"/>
            <w:r w:rsidRPr="00AB7A96">
              <w:rPr>
                <w:rFonts w:asciiTheme="minorHAnsi" w:hAnsiTheme="minorHAnsi"/>
                <w:color w:val="000000" w:themeColor="text1"/>
                <w:szCs w:val="22"/>
                <w:lang w:val="en-US"/>
              </w:rPr>
              <w:t>. The legal form of enterprise may be various (self-employed persons, partnerships, etc.).</w:t>
            </w:r>
          </w:p>
          <w:p w:rsidR="00D11F7F" w:rsidRPr="00AB7A96" w:rsidRDefault="00D11F7F" w:rsidP="00D11F7F">
            <w:pPr>
              <w:spacing w:before="0" w:line="276" w:lineRule="auto"/>
              <w:jc w:val="both"/>
              <w:rPr>
                <w:rFonts w:asciiTheme="minorHAnsi" w:hAnsiTheme="minorHAnsi"/>
                <w:color w:val="000000" w:themeColor="text1"/>
                <w:szCs w:val="22"/>
                <w:u w:val="single"/>
              </w:rPr>
            </w:pPr>
            <w:r w:rsidRPr="00AB7A96">
              <w:rPr>
                <w:rFonts w:asciiTheme="minorHAnsi" w:hAnsiTheme="minorHAnsi"/>
                <w:color w:val="000000" w:themeColor="text1"/>
                <w:szCs w:val="22"/>
                <w:u w:val="single"/>
              </w:rPr>
              <w:t>Wersja robocza tłumaczenia:</w:t>
            </w:r>
          </w:p>
          <w:p w:rsidR="00D11F7F" w:rsidRPr="00AB7A96" w:rsidRDefault="00D11F7F" w:rsidP="00D11F7F">
            <w:pPr>
              <w:spacing w:before="0" w:line="276" w:lineRule="auto"/>
              <w:jc w:val="both"/>
              <w:rPr>
                <w:rFonts w:asciiTheme="minorHAnsi" w:hAnsiTheme="minorHAnsi"/>
              </w:rPr>
            </w:pPr>
            <w:r w:rsidRPr="00AB7A96">
              <w:rPr>
                <w:rFonts w:asciiTheme="minorHAnsi" w:hAnsiTheme="minorHAnsi"/>
              </w:rPr>
              <w:t xml:space="preserve">Liczba przedsiębiorstw otrzymujących wsparcie w każdej formie z Europejskiego </w:t>
            </w:r>
            <w:r w:rsidRPr="00AB7A96">
              <w:rPr>
                <w:rFonts w:asciiTheme="minorHAnsi" w:hAnsiTheme="minorHAnsi"/>
              </w:rPr>
              <w:lastRenderedPageBreak/>
              <w:t xml:space="preserve">Funduszu Rozwoju Regionalnego (niezależnie czy wsparcie stanowi pomoc publiczną, czy nie). </w:t>
            </w:r>
          </w:p>
          <w:p w:rsidR="00D11F7F" w:rsidRPr="00AB7A96" w:rsidRDefault="00D11F7F" w:rsidP="00D11F7F">
            <w:pPr>
              <w:spacing w:before="0" w:line="276" w:lineRule="auto"/>
              <w:jc w:val="both"/>
              <w:rPr>
                <w:rFonts w:asciiTheme="minorHAnsi" w:hAnsiTheme="minorHAnsi"/>
                <w:szCs w:val="22"/>
              </w:rPr>
            </w:pPr>
            <w:r w:rsidRPr="00AB7A96">
              <w:rPr>
                <w:rFonts w:asciiTheme="minorHAnsi" w:hAnsiTheme="minorHAnsi"/>
              </w:rPr>
              <w:t xml:space="preserve">Definicja przedsiębiorstwa - w oparciu o Załącznik I do Rozporządzenia Komisji (UE) nr 651/2014 z dnia 17 czerwca 2014 r. uznającego niektóre rodzaje pomocy za zgodne z rynkiem wewnętrznym w zastosowaniu art. 107 i 108 Traktatu. </w:t>
            </w:r>
          </w:p>
          <w:p w:rsidR="00D11F7F" w:rsidRPr="00AB7A96" w:rsidRDefault="00D11F7F" w:rsidP="00D11F7F">
            <w:pPr>
              <w:spacing w:before="0" w:line="276" w:lineRule="auto"/>
              <w:jc w:val="both"/>
              <w:rPr>
                <w:rFonts w:asciiTheme="minorHAnsi" w:eastAsiaTheme="minorHAnsi" w:hAnsiTheme="minorHAnsi"/>
                <w:szCs w:val="22"/>
                <w:lang w:eastAsia="en-US"/>
              </w:rPr>
            </w:pPr>
          </w:p>
          <w:p w:rsidR="00D11F7F" w:rsidRPr="00AB7A96" w:rsidRDefault="00D11F7F" w:rsidP="00D11F7F">
            <w:pPr>
              <w:spacing w:before="0" w:line="276" w:lineRule="auto"/>
              <w:jc w:val="both"/>
              <w:rPr>
                <w:rFonts w:asciiTheme="minorHAnsi" w:hAnsiTheme="minorHAnsi"/>
                <w:color w:val="000000" w:themeColor="text1"/>
                <w:szCs w:val="22"/>
              </w:rPr>
            </w:pPr>
            <w:r w:rsidRPr="00AB7A96">
              <w:rPr>
                <w:rFonts w:asciiTheme="minorHAnsi" w:eastAsiaTheme="minorHAnsi" w:hAnsiTheme="minorHAnsi"/>
                <w:szCs w:val="22"/>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w:t>
            </w:r>
          </w:p>
          <w:p w:rsidR="00D11F7F" w:rsidRPr="00AB7A96" w:rsidRDefault="00D11F7F" w:rsidP="00D11F7F">
            <w:pPr>
              <w:spacing w:before="0" w:line="276" w:lineRule="auto"/>
              <w:jc w:val="both"/>
              <w:rPr>
                <w:rFonts w:asciiTheme="minorHAnsi" w:hAnsiTheme="minorHAnsi"/>
                <w:color w:val="000000" w:themeColor="text1"/>
                <w:szCs w:val="22"/>
              </w:rPr>
            </w:pPr>
          </w:p>
          <w:p w:rsidR="00A603C0" w:rsidRPr="00AB7A96" w:rsidRDefault="00D11F7F" w:rsidP="00D11F7F">
            <w:pPr>
              <w:spacing w:before="0" w:line="240" w:lineRule="auto"/>
              <w:rPr>
                <w:rFonts w:asciiTheme="minorHAnsi" w:hAnsiTheme="minorHAnsi"/>
                <w:szCs w:val="22"/>
                <w:u w:val="single"/>
              </w:rPr>
            </w:pPr>
            <w:r w:rsidRPr="00AB7A96">
              <w:rPr>
                <w:rFonts w:asciiTheme="minorHAnsi" w:hAnsiTheme="minorHAnsi"/>
                <w:color w:val="000000" w:themeColor="text1"/>
                <w:szCs w:val="22"/>
              </w:rPr>
              <w:t>Wskaźnik „</w:t>
            </w:r>
            <w:r w:rsidRPr="00AB7A96">
              <w:rPr>
                <w:rFonts w:asciiTheme="minorHAnsi" w:hAnsiTheme="minorHAnsi" w:cs="Arial"/>
                <w:szCs w:val="22"/>
              </w:rPr>
              <w:t>Liczba przedsiębiorstw otrzymujących wsparcie” występuje łącznie ze wskaźnikiem „Liczba przedsiębiorstw otrzymujących dotacje”.</w:t>
            </w:r>
          </w:p>
        </w:tc>
        <w:tc>
          <w:tcPr>
            <w:tcW w:w="883" w:type="pct"/>
          </w:tcPr>
          <w:p w:rsidR="00A603C0" w:rsidRPr="00AB7A96" w:rsidRDefault="00A603C0" w:rsidP="00A603C0">
            <w:pPr>
              <w:spacing w:before="0" w:line="240" w:lineRule="auto"/>
              <w:jc w:val="center"/>
              <w:rPr>
                <w:rFonts w:asciiTheme="minorHAnsi" w:hAnsiTheme="minorHAnsi"/>
                <w:szCs w:val="22"/>
              </w:rPr>
            </w:pPr>
          </w:p>
          <w:p w:rsidR="00181293" w:rsidRPr="00AB7A96" w:rsidRDefault="00181293" w:rsidP="00181293">
            <w:pPr>
              <w:spacing w:before="0" w:line="240" w:lineRule="auto"/>
              <w:jc w:val="center"/>
              <w:rPr>
                <w:rFonts w:asciiTheme="minorHAnsi" w:hAnsiTheme="minorHAnsi"/>
                <w:szCs w:val="22"/>
              </w:rPr>
            </w:pPr>
            <w:r w:rsidRPr="00AB7A96">
              <w:rPr>
                <w:rFonts w:asciiTheme="minorHAnsi" w:hAnsiTheme="minorHAnsi"/>
                <w:szCs w:val="22"/>
              </w:rPr>
              <w:t>RPO WD</w:t>
            </w:r>
          </w:p>
          <w:p w:rsidR="00181293" w:rsidRPr="00AB7A96" w:rsidRDefault="00181293" w:rsidP="00181293">
            <w:pPr>
              <w:spacing w:before="0" w:line="240" w:lineRule="auto"/>
              <w:jc w:val="center"/>
              <w:rPr>
                <w:rFonts w:asciiTheme="minorHAnsi" w:hAnsiTheme="minorHAnsi"/>
                <w:szCs w:val="22"/>
              </w:rPr>
            </w:pPr>
            <w:r w:rsidRPr="00AB7A96">
              <w:rPr>
                <w:rFonts w:asciiTheme="minorHAnsi" w:hAnsiTheme="minorHAnsi"/>
                <w:szCs w:val="22"/>
              </w:rPr>
              <w:t>2014-2020</w:t>
            </w:r>
          </w:p>
        </w:tc>
      </w:tr>
      <w:tr w:rsidR="00A603C0" w:rsidRPr="00AB7A96" w:rsidTr="00181293">
        <w:trPr>
          <w:trHeight w:val="1121"/>
          <w:jc w:val="center"/>
        </w:trPr>
        <w:tc>
          <w:tcPr>
            <w:tcW w:w="1185" w:type="pct"/>
            <w:shd w:val="clear" w:color="auto" w:fill="auto"/>
          </w:tcPr>
          <w:p w:rsidR="00A603C0" w:rsidRPr="00AB7A96" w:rsidRDefault="00181293" w:rsidP="00187C0F">
            <w:pPr>
              <w:rPr>
                <w:rFonts w:cs="Arial"/>
                <w:sz w:val="20"/>
              </w:rPr>
            </w:pPr>
            <w:r w:rsidRPr="00AB7A96">
              <w:rPr>
                <w:sz w:val="20"/>
              </w:rPr>
              <w:lastRenderedPageBreak/>
              <w:t>Liczba obiektów dostosowanych do potrzeb osób z niepełnosprawnościami</w:t>
            </w:r>
          </w:p>
        </w:tc>
        <w:tc>
          <w:tcPr>
            <w:tcW w:w="601" w:type="pct"/>
          </w:tcPr>
          <w:p w:rsidR="00A603C0" w:rsidRPr="00AB7A96" w:rsidRDefault="00A603C0" w:rsidP="00187C0F">
            <w:pPr>
              <w:spacing w:before="0" w:line="240" w:lineRule="auto"/>
              <w:rPr>
                <w:rFonts w:asciiTheme="minorHAnsi" w:hAnsiTheme="minorHAnsi" w:cs="ArialNarrow"/>
              </w:rPr>
            </w:pPr>
          </w:p>
          <w:p w:rsidR="00181293" w:rsidRPr="00AB7A96" w:rsidRDefault="00181293" w:rsidP="00187C0F">
            <w:pPr>
              <w:spacing w:before="0" w:line="240" w:lineRule="auto"/>
              <w:rPr>
                <w:rFonts w:asciiTheme="minorHAnsi" w:hAnsiTheme="minorHAnsi" w:cs="ArialNarrow"/>
              </w:rPr>
            </w:pPr>
          </w:p>
          <w:p w:rsidR="00181293" w:rsidRPr="00AB7A96" w:rsidRDefault="00181293" w:rsidP="00181293">
            <w:pPr>
              <w:spacing w:before="0" w:line="240" w:lineRule="auto"/>
              <w:jc w:val="center"/>
              <w:rPr>
                <w:rFonts w:asciiTheme="minorHAnsi" w:hAnsiTheme="minorHAnsi" w:cs="ArialNarrow"/>
              </w:rPr>
            </w:pPr>
            <w:r w:rsidRPr="00AB7A96">
              <w:rPr>
                <w:sz w:val="20"/>
              </w:rPr>
              <w:t>szt.</w:t>
            </w:r>
          </w:p>
        </w:tc>
        <w:tc>
          <w:tcPr>
            <w:tcW w:w="2331" w:type="pct"/>
            <w:shd w:val="clear" w:color="auto" w:fill="auto"/>
          </w:tcPr>
          <w:p w:rsidR="00181293" w:rsidRPr="00AB7A96" w:rsidRDefault="00181293" w:rsidP="00181293">
            <w:pPr>
              <w:spacing w:before="0" w:line="240" w:lineRule="auto"/>
              <w:rPr>
                <w:rFonts w:asciiTheme="minorHAnsi" w:eastAsiaTheme="minorHAnsi" w:hAnsiTheme="minorHAnsi"/>
                <w:szCs w:val="22"/>
                <w:lang w:eastAsia="en-US"/>
              </w:rPr>
            </w:pPr>
            <w:r w:rsidRPr="00AB7A96">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181293" w:rsidRPr="00AB7A96" w:rsidRDefault="00181293" w:rsidP="00181293">
            <w:pPr>
              <w:spacing w:before="0" w:line="240" w:lineRule="auto"/>
              <w:rPr>
                <w:rFonts w:asciiTheme="minorHAnsi" w:eastAsiaTheme="minorHAnsi" w:hAnsiTheme="minorHAnsi"/>
                <w:szCs w:val="22"/>
                <w:lang w:eastAsia="en-US"/>
              </w:rPr>
            </w:pPr>
            <w:r w:rsidRPr="00AB7A96">
              <w:rPr>
                <w:rFonts w:asciiTheme="minorHAnsi" w:eastAsiaTheme="minorHAnsi" w:hAnsiTheme="minorHAnsi"/>
                <w:szCs w:val="22"/>
                <w:lang w:eastAsia="en-US"/>
              </w:rPr>
              <w:t>Jako obiekty budowlane należy rozumieć konstrukcje połączone z gruntem w sposób trwały, wykonane z materiałów budowlanych i elementów składowych, będące wynikiem prac budowlanych (wg. def. PKOB).</w:t>
            </w:r>
          </w:p>
          <w:p w:rsidR="00181293" w:rsidRPr="00AB7A96" w:rsidRDefault="00181293" w:rsidP="00181293">
            <w:pPr>
              <w:spacing w:before="0" w:line="240" w:lineRule="auto"/>
              <w:rPr>
                <w:rFonts w:asciiTheme="minorHAnsi" w:eastAsiaTheme="minorHAnsi" w:hAnsiTheme="minorHAnsi"/>
                <w:szCs w:val="22"/>
                <w:lang w:eastAsia="en-US"/>
              </w:rPr>
            </w:pPr>
            <w:r w:rsidRPr="00AB7A96">
              <w:rPr>
                <w:rFonts w:asciiTheme="minorHAnsi" w:eastAsiaTheme="minorHAnsi" w:hAnsiTheme="minorHAnsi"/>
                <w:szCs w:val="22"/>
                <w:lang w:eastAsia="en-US"/>
              </w:rPr>
              <w:t>Należy podać liczbę obiektów, a nie sprzętów, urządzeń itp., w które obiekty zaopatrzono.</w:t>
            </w:r>
          </w:p>
          <w:p w:rsidR="00A603C0" w:rsidRPr="00AB7A96" w:rsidRDefault="00181293" w:rsidP="00181293">
            <w:pPr>
              <w:spacing w:before="0" w:line="240" w:lineRule="auto"/>
              <w:rPr>
                <w:rFonts w:asciiTheme="minorHAnsi" w:hAnsiTheme="minorHAnsi"/>
                <w:szCs w:val="22"/>
                <w:u w:val="single"/>
              </w:rPr>
            </w:pPr>
            <w:r w:rsidRPr="00AB7A96">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883" w:type="pct"/>
          </w:tcPr>
          <w:p w:rsidR="00181293" w:rsidRPr="00AB7A96" w:rsidRDefault="00181293" w:rsidP="00A603C0">
            <w:pPr>
              <w:spacing w:before="0" w:line="240" w:lineRule="auto"/>
              <w:jc w:val="center"/>
              <w:rPr>
                <w:rFonts w:cs="Arial"/>
                <w:sz w:val="20"/>
              </w:rPr>
            </w:pPr>
          </w:p>
          <w:p w:rsidR="00181293" w:rsidRPr="00AB7A96" w:rsidRDefault="00181293" w:rsidP="00A603C0">
            <w:pPr>
              <w:spacing w:before="0" w:line="240" w:lineRule="auto"/>
              <w:jc w:val="center"/>
              <w:rPr>
                <w:rFonts w:cs="Arial"/>
                <w:sz w:val="20"/>
              </w:rPr>
            </w:pPr>
          </w:p>
          <w:p w:rsidR="00A603C0" w:rsidRPr="00AB7A96" w:rsidRDefault="00181293" w:rsidP="00A603C0">
            <w:pPr>
              <w:spacing w:before="0" w:line="240" w:lineRule="auto"/>
              <w:jc w:val="center"/>
              <w:rPr>
                <w:rFonts w:asciiTheme="minorHAnsi" w:hAnsiTheme="minorHAnsi"/>
                <w:szCs w:val="22"/>
              </w:rPr>
            </w:pPr>
            <w:r w:rsidRPr="00AB7A96">
              <w:rPr>
                <w:rFonts w:cs="Arial"/>
                <w:sz w:val="20"/>
              </w:rPr>
              <w:t>horyzontalny</w:t>
            </w:r>
          </w:p>
        </w:tc>
      </w:tr>
      <w:tr w:rsidR="00181293" w:rsidRPr="00AB7A96" w:rsidTr="00181293">
        <w:trPr>
          <w:trHeight w:val="1121"/>
          <w:jc w:val="center"/>
        </w:trPr>
        <w:tc>
          <w:tcPr>
            <w:tcW w:w="1185" w:type="pct"/>
            <w:shd w:val="clear" w:color="auto" w:fill="auto"/>
          </w:tcPr>
          <w:p w:rsidR="00181293" w:rsidRPr="00AB7A96" w:rsidRDefault="00181293" w:rsidP="00181293">
            <w:pPr>
              <w:jc w:val="center"/>
              <w:rPr>
                <w:rFonts w:cs="Arial"/>
                <w:sz w:val="20"/>
              </w:rPr>
            </w:pPr>
            <w:r w:rsidRPr="00AB7A96">
              <w:rPr>
                <w:sz w:val="20"/>
              </w:rPr>
              <w:lastRenderedPageBreak/>
              <w:t>Liczba osób objętych szkoleniami/doradztwem w zakresie kompetencji cyfrowych [O/K/M]</w:t>
            </w:r>
          </w:p>
        </w:tc>
        <w:tc>
          <w:tcPr>
            <w:tcW w:w="601" w:type="pct"/>
          </w:tcPr>
          <w:p w:rsidR="00181293" w:rsidRPr="00AB7A96" w:rsidRDefault="00181293" w:rsidP="00187C0F">
            <w:pPr>
              <w:spacing w:before="0" w:line="240" w:lineRule="auto"/>
              <w:rPr>
                <w:rFonts w:asciiTheme="minorHAnsi" w:hAnsiTheme="minorHAnsi" w:cs="ArialNarrow"/>
              </w:rPr>
            </w:pPr>
          </w:p>
          <w:p w:rsidR="00181293" w:rsidRPr="00AB7A96" w:rsidRDefault="00181293" w:rsidP="00187C0F">
            <w:pPr>
              <w:spacing w:before="0" w:line="240" w:lineRule="auto"/>
              <w:rPr>
                <w:rFonts w:asciiTheme="minorHAnsi" w:hAnsiTheme="minorHAnsi" w:cs="ArialNarrow"/>
              </w:rPr>
            </w:pPr>
          </w:p>
          <w:p w:rsidR="00181293" w:rsidRPr="00AB7A96" w:rsidRDefault="00181293" w:rsidP="00181293">
            <w:pPr>
              <w:spacing w:before="0" w:line="240" w:lineRule="auto"/>
              <w:jc w:val="center"/>
              <w:rPr>
                <w:rFonts w:asciiTheme="minorHAnsi" w:hAnsiTheme="minorHAnsi" w:cs="ArialNarrow"/>
              </w:rPr>
            </w:pPr>
            <w:r w:rsidRPr="00AB7A96">
              <w:rPr>
                <w:rFonts w:asciiTheme="minorHAnsi" w:hAnsiTheme="minorHAnsi" w:cs="ArialNarrow"/>
              </w:rPr>
              <w:t>osoby</w:t>
            </w:r>
          </w:p>
        </w:tc>
        <w:tc>
          <w:tcPr>
            <w:tcW w:w="2331" w:type="pct"/>
            <w:shd w:val="clear" w:color="auto" w:fill="auto"/>
          </w:tcPr>
          <w:p w:rsidR="00181293" w:rsidRPr="00AB7A96" w:rsidRDefault="00181293" w:rsidP="00181293">
            <w:pPr>
              <w:spacing w:before="0" w:line="240" w:lineRule="auto"/>
              <w:rPr>
                <w:rFonts w:asciiTheme="minorHAnsi" w:eastAsiaTheme="minorHAnsi" w:hAnsiTheme="minorHAnsi"/>
                <w:szCs w:val="22"/>
                <w:lang w:eastAsia="en-US"/>
              </w:rPr>
            </w:pPr>
            <w:r w:rsidRPr="00AB7A96">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rsidR="00181293" w:rsidRPr="00AB7A96" w:rsidRDefault="00181293" w:rsidP="00181293">
            <w:pPr>
              <w:spacing w:before="0" w:line="240" w:lineRule="auto"/>
              <w:rPr>
                <w:rFonts w:asciiTheme="minorHAnsi" w:hAnsiTheme="minorHAnsi"/>
                <w:szCs w:val="22"/>
                <w:u w:val="single"/>
              </w:rPr>
            </w:pPr>
            <w:r w:rsidRPr="00AB7A96">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cross-financingu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883" w:type="pct"/>
          </w:tcPr>
          <w:p w:rsidR="00181293" w:rsidRPr="00AB7A96" w:rsidRDefault="00181293" w:rsidP="00A603C0">
            <w:pPr>
              <w:spacing w:before="0" w:line="240" w:lineRule="auto"/>
              <w:jc w:val="center"/>
              <w:rPr>
                <w:rFonts w:cs="Arial"/>
                <w:sz w:val="20"/>
              </w:rPr>
            </w:pPr>
          </w:p>
          <w:p w:rsidR="00181293" w:rsidRPr="00AB7A96" w:rsidRDefault="00181293" w:rsidP="00A603C0">
            <w:pPr>
              <w:spacing w:before="0" w:line="240" w:lineRule="auto"/>
              <w:jc w:val="center"/>
              <w:rPr>
                <w:rFonts w:asciiTheme="minorHAnsi" w:hAnsiTheme="minorHAnsi"/>
                <w:szCs w:val="22"/>
              </w:rPr>
            </w:pPr>
            <w:r w:rsidRPr="00AB7A96">
              <w:rPr>
                <w:rFonts w:cs="Arial"/>
                <w:sz w:val="20"/>
              </w:rPr>
              <w:t>horyzontalny</w:t>
            </w:r>
          </w:p>
        </w:tc>
      </w:tr>
      <w:tr w:rsidR="00181293" w:rsidRPr="00AB7A96" w:rsidTr="00181293">
        <w:trPr>
          <w:trHeight w:val="1121"/>
          <w:jc w:val="center"/>
        </w:trPr>
        <w:tc>
          <w:tcPr>
            <w:tcW w:w="1185" w:type="pct"/>
            <w:shd w:val="clear" w:color="auto" w:fill="auto"/>
          </w:tcPr>
          <w:p w:rsidR="00181293" w:rsidRPr="00AB7A96" w:rsidRDefault="00181293" w:rsidP="00187C0F">
            <w:pPr>
              <w:rPr>
                <w:rFonts w:cs="Arial"/>
                <w:sz w:val="20"/>
              </w:rPr>
            </w:pPr>
            <w:r w:rsidRPr="00AB7A96">
              <w:rPr>
                <w:sz w:val="20"/>
              </w:rPr>
              <w:t>Liczba projektów, w których sfinansowano koszty racjonalnych usprawnień dla osób z niepełnosprawnościami</w:t>
            </w:r>
          </w:p>
        </w:tc>
        <w:tc>
          <w:tcPr>
            <w:tcW w:w="601" w:type="pct"/>
          </w:tcPr>
          <w:p w:rsidR="00181293" w:rsidRPr="00AB7A96" w:rsidRDefault="00181293" w:rsidP="00187C0F">
            <w:pPr>
              <w:spacing w:before="0" w:line="240" w:lineRule="auto"/>
              <w:rPr>
                <w:rFonts w:asciiTheme="minorHAnsi" w:hAnsiTheme="minorHAnsi" w:cs="ArialNarrow"/>
              </w:rPr>
            </w:pPr>
          </w:p>
          <w:p w:rsidR="00181293" w:rsidRPr="00AB7A96" w:rsidRDefault="00181293" w:rsidP="00187C0F">
            <w:pPr>
              <w:spacing w:before="0" w:line="240" w:lineRule="auto"/>
              <w:rPr>
                <w:rFonts w:asciiTheme="minorHAnsi" w:hAnsiTheme="minorHAnsi" w:cs="ArialNarrow"/>
              </w:rPr>
            </w:pPr>
          </w:p>
          <w:p w:rsidR="00181293" w:rsidRPr="00AB7A96" w:rsidRDefault="00181293" w:rsidP="00181293">
            <w:pPr>
              <w:spacing w:before="0" w:line="240" w:lineRule="auto"/>
              <w:jc w:val="center"/>
              <w:rPr>
                <w:rFonts w:asciiTheme="minorHAnsi" w:hAnsiTheme="minorHAnsi" w:cs="ArialNarrow"/>
              </w:rPr>
            </w:pPr>
            <w:r w:rsidRPr="00AB7A96">
              <w:rPr>
                <w:sz w:val="20"/>
              </w:rPr>
              <w:t>szt.</w:t>
            </w:r>
          </w:p>
        </w:tc>
        <w:tc>
          <w:tcPr>
            <w:tcW w:w="2331" w:type="pct"/>
            <w:shd w:val="clear" w:color="auto" w:fill="auto"/>
          </w:tcPr>
          <w:p w:rsidR="00181293" w:rsidRPr="00AB7A96" w:rsidRDefault="00181293" w:rsidP="00181293">
            <w:pPr>
              <w:autoSpaceDE w:val="0"/>
              <w:autoSpaceDN w:val="0"/>
              <w:adjustRightInd w:val="0"/>
              <w:spacing w:before="0" w:line="240" w:lineRule="auto"/>
              <w:rPr>
                <w:rFonts w:asciiTheme="minorHAnsi" w:eastAsiaTheme="minorHAnsi" w:hAnsiTheme="minorHAnsi" w:cs="Arial"/>
                <w:szCs w:val="22"/>
                <w:lang w:eastAsia="en-US"/>
              </w:rPr>
            </w:pPr>
            <w:r w:rsidRPr="00AB7A96">
              <w:rPr>
                <w:rFonts w:asciiTheme="minorHAnsi" w:eastAsiaTheme="minorHAnsi" w:hAnsiTheme="minorHAnsi" w:cs="Arial"/>
                <w:szCs w:val="22"/>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181293" w:rsidRPr="00AB7A96" w:rsidRDefault="00181293" w:rsidP="00181293">
            <w:pPr>
              <w:autoSpaceDE w:val="0"/>
              <w:autoSpaceDN w:val="0"/>
              <w:adjustRightInd w:val="0"/>
              <w:spacing w:before="0" w:line="240" w:lineRule="auto"/>
              <w:rPr>
                <w:rFonts w:asciiTheme="minorHAnsi" w:eastAsiaTheme="minorHAnsi" w:hAnsiTheme="minorHAnsi" w:cs="Arial"/>
                <w:szCs w:val="22"/>
                <w:lang w:eastAsia="en-US"/>
              </w:rPr>
            </w:pPr>
            <w:r w:rsidRPr="00AB7A96">
              <w:rPr>
                <w:rFonts w:asciiTheme="minorHAnsi" w:eastAsiaTheme="minorHAnsi" w:hAnsiTheme="minorHAnsi" w:cs="Arial"/>
                <w:szCs w:val="22"/>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w:t>
            </w:r>
            <w:r w:rsidRPr="00AB7A96">
              <w:rPr>
                <w:rFonts w:asciiTheme="minorHAnsi" w:eastAsiaTheme="minorHAnsi" w:hAnsiTheme="minorHAnsi" w:cs="Arial"/>
                <w:szCs w:val="22"/>
                <w:lang w:eastAsia="en-US"/>
              </w:rPr>
              <w:lastRenderedPageBreak/>
              <w:t xml:space="preserve">Braille'a), osoby asystujące, odpowiednie dostosowanie wyżywienia. </w:t>
            </w:r>
          </w:p>
          <w:p w:rsidR="00181293" w:rsidRPr="00AB7A96" w:rsidRDefault="00181293" w:rsidP="00181293">
            <w:pPr>
              <w:spacing w:before="0" w:line="240" w:lineRule="auto"/>
              <w:rPr>
                <w:rFonts w:asciiTheme="minorHAnsi" w:hAnsiTheme="minorHAnsi"/>
                <w:szCs w:val="22"/>
                <w:u w:val="single"/>
              </w:rPr>
            </w:pPr>
            <w:r w:rsidRPr="00AB7A96">
              <w:rPr>
                <w:rFonts w:asciiTheme="minorHAnsi" w:eastAsiaTheme="minorHAnsi" w:hAnsiTheme="minorHAnsi" w:cs="Arial"/>
                <w:szCs w:val="22"/>
                <w:lang w:eastAsia="en-US"/>
              </w:rPr>
              <w:t xml:space="preserve">Definicja na podstawie </w:t>
            </w:r>
            <w:r w:rsidRPr="00AB7A96">
              <w:rPr>
                <w:rFonts w:asciiTheme="minorHAnsi" w:eastAsiaTheme="minorHAnsi" w:hAnsiTheme="minorHAnsi" w:cs="Arial"/>
                <w:i/>
                <w:iCs/>
                <w:szCs w:val="22"/>
                <w:lang w:eastAsia="en-US"/>
              </w:rPr>
              <w:t>Wytycznych w zakresie realizacji zasady równości szans i niedyskryminacji, w tym dostępności dla osób z niepełnosprawnościami oraz równości szans kobiet i mężczyzn w ramach funduszy unijnych na lata 2014-2020</w:t>
            </w:r>
            <w:r w:rsidRPr="00AB7A96">
              <w:rPr>
                <w:rFonts w:asciiTheme="minorHAnsi" w:eastAsiaTheme="minorHAnsi" w:hAnsiTheme="minorHAnsi" w:cs="Arial"/>
                <w:szCs w:val="22"/>
                <w:lang w:eastAsia="en-US"/>
              </w:rPr>
              <w:t>.</w:t>
            </w:r>
          </w:p>
        </w:tc>
        <w:tc>
          <w:tcPr>
            <w:tcW w:w="883" w:type="pct"/>
          </w:tcPr>
          <w:p w:rsidR="00181293" w:rsidRPr="00AB7A96" w:rsidRDefault="00181293" w:rsidP="00A603C0">
            <w:pPr>
              <w:spacing w:before="0" w:line="240" w:lineRule="auto"/>
              <w:jc w:val="center"/>
              <w:rPr>
                <w:rFonts w:asciiTheme="minorHAnsi" w:hAnsiTheme="minorHAnsi"/>
                <w:szCs w:val="22"/>
              </w:rPr>
            </w:pPr>
          </w:p>
          <w:p w:rsidR="00181293" w:rsidRPr="00AB7A96" w:rsidRDefault="00181293" w:rsidP="00A603C0">
            <w:pPr>
              <w:spacing w:before="0" w:line="240" w:lineRule="auto"/>
              <w:jc w:val="center"/>
              <w:rPr>
                <w:rFonts w:asciiTheme="minorHAnsi" w:hAnsiTheme="minorHAnsi"/>
                <w:szCs w:val="22"/>
              </w:rPr>
            </w:pPr>
          </w:p>
          <w:p w:rsidR="00181293" w:rsidRPr="00AB7A96" w:rsidRDefault="00181293" w:rsidP="00A603C0">
            <w:pPr>
              <w:spacing w:before="0" w:line="240" w:lineRule="auto"/>
              <w:jc w:val="center"/>
              <w:rPr>
                <w:rFonts w:asciiTheme="minorHAnsi" w:hAnsiTheme="minorHAnsi"/>
                <w:szCs w:val="22"/>
              </w:rPr>
            </w:pPr>
            <w:r w:rsidRPr="00AB7A96">
              <w:rPr>
                <w:rFonts w:cs="Arial"/>
                <w:sz w:val="20"/>
              </w:rPr>
              <w:t>horyzontalny</w:t>
            </w:r>
          </w:p>
        </w:tc>
      </w:tr>
      <w:tr w:rsidR="00181293" w:rsidRPr="00AB7A96" w:rsidTr="00181293">
        <w:trPr>
          <w:trHeight w:val="1121"/>
          <w:jc w:val="center"/>
        </w:trPr>
        <w:tc>
          <w:tcPr>
            <w:tcW w:w="1185" w:type="pct"/>
            <w:shd w:val="clear" w:color="auto" w:fill="auto"/>
          </w:tcPr>
          <w:p w:rsidR="00181293" w:rsidRPr="00AB7A96" w:rsidRDefault="00181293" w:rsidP="00181293">
            <w:pPr>
              <w:rPr>
                <w:sz w:val="20"/>
              </w:rPr>
            </w:pPr>
            <w:r w:rsidRPr="00AB7A96">
              <w:rPr>
                <w:sz w:val="20"/>
              </w:rPr>
              <w:lastRenderedPageBreak/>
              <w:t>Liczba podmiotów wykorzystujących technologie informacyjno-komunikacyjne (TIK)</w:t>
            </w:r>
          </w:p>
        </w:tc>
        <w:tc>
          <w:tcPr>
            <w:tcW w:w="601" w:type="pct"/>
          </w:tcPr>
          <w:p w:rsidR="00181293" w:rsidRPr="00AB7A96" w:rsidRDefault="00181293" w:rsidP="00181293">
            <w:pPr>
              <w:spacing w:before="0" w:line="240" w:lineRule="auto"/>
              <w:jc w:val="center"/>
              <w:rPr>
                <w:sz w:val="20"/>
              </w:rPr>
            </w:pPr>
          </w:p>
          <w:p w:rsidR="00181293" w:rsidRPr="00AB7A96" w:rsidRDefault="00181293" w:rsidP="00181293">
            <w:pPr>
              <w:spacing w:before="0" w:line="240" w:lineRule="auto"/>
              <w:jc w:val="center"/>
              <w:rPr>
                <w:sz w:val="20"/>
              </w:rPr>
            </w:pPr>
          </w:p>
          <w:p w:rsidR="00181293" w:rsidRPr="00AB7A96" w:rsidRDefault="00181293" w:rsidP="00181293">
            <w:pPr>
              <w:spacing w:before="0" w:line="240" w:lineRule="auto"/>
              <w:jc w:val="center"/>
              <w:rPr>
                <w:rFonts w:asciiTheme="minorHAnsi" w:hAnsiTheme="minorHAnsi" w:cs="ArialNarrow"/>
              </w:rPr>
            </w:pPr>
            <w:r w:rsidRPr="00AB7A96">
              <w:rPr>
                <w:sz w:val="20"/>
              </w:rPr>
              <w:t>Szt.</w:t>
            </w:r>
          </w:p>
        </w:tc>
        <w:tc>
          <w:tcPr>
            <w:tcW w:w="2331" w:type="pct"/>
            <w:shd w:val="clear" w:color="auto" w:fill="auto"/>
          </w:tcPr>
          <w:p w:rsidR="00181293" w:rsidRPr="00AB7A96" w:rsidRDefault="00181293" w:rsidP="00181293">
            <w:pPr>
              <w:spacing w:before="0" w:line="240" w:lineRule="auto"/>
              <w:rPr>
                <w:rFonts w:asciiTheme="minorHAnsi" w:eastAsiaTheme="minorHAnsi" w:hAnsiTheme="minorHAnsi"/>
                <w:szCs w:val="22"/>
                <w:lang w:eastAsia="en-US"/>
              </w:rPr>
            </w:pPr>
            <w:r w:rsidRPr="00AB7A96">
              <w:rPr>
                <w:rFonts w:asciiTheme="minorHAnsi" w:eastAsiaTheme="minorHAnsi" w:hAnsiTheme="minorHAnsi"/>
                <w:szCs w:val="22"/>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181293" w:rsidRPr="00AB7A96" w:rsidRDefault="00181293" w:rsidP="00181293">
            <w:pPr>
              <w:spacing w:before="0" w:line="240" w:lineRule="auto"/>
              <w:rPr>
                <w:rFonts w:asciiTheme="minorHAnsi" w:eastAsiaTheme="minorHAnsi" w:hAnsiTheme="minorHAnsi"/>
                <w:szCs w:val="22"/>
                <w:lang w:eastAsia="en-US"/>
              </w:rPr>
            </w:pPr>
          </w:p>
          <w:p w:rsidR="00181293" w:rsidRPr="00AB7A96" w:rsidRDefault="00181293" w:rsidP="00181293">
            <w:pPr>
              <w:spacing w:before="0" w:line="240" w:lineRule="auto"/>
              <w:rPr>
                <w:rFonts w:asciiTheme="minorHAnsi" w:eastAsiaTheme="minorHAnsi" w:hAnsiTheme="minorHAnsi"/>
                <w:szCs w:val="22"/>
                <w:lang w:eastAsia="en-US"/>
              </w:rPr>
            </w:pPr>
            <w:r w:rsidRPr="00AB7A96">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181293" w:rsidRPr="00AB7A96" w:rsidRDefault="00181293" w:rsidP="00181293">
            <w:pPr>
              <w:spacing w:before="0" w:line="240" w:lineRule="auto"/>
              <w:rPr>
                <w:rFonts w:asciiTheme="minorHAnsi" w:eastAsiaTheme="minorHAnsi" w:hAnsiTheme="minorHAnsi"/>
                <w:szCs w:val="22"/>
                <w:lang w:eastAsia="en-US"/>
              </w:rPr>
            </w:pPr>
          </w:p>
          <w:p w:rsidR="00181293" w:rsidRPr="00AB7A96" w:rsidRDefault="00181293" w:rsidP="00181293">
            <w:pPr>
              <w:spacing w:before="0" w:line="240" w:lineRule="auto"/>
              <w:rPr>
                <w:rFonts w:asciiTheme="minorHAnsi" w:eastAsiaTheme="minorHAnsi" w:hAnsiTheme="minorHAnsi"/>
                <w:szCs w:val="22"/>
                <w:lang w:eastAsia="en-US"/>
              </w:rPr>
            </w:pPr>
            <w:r w:rsidRPr="00AB7A96">
              <w:rPr>
                <w:rFonts w:asciiTheme="minorHAnsi" w:eastAsiaTheme="minorHAnsi" w:hAnsiTheme="minorHAnsi"/>
                <w:szCs w:val="22"/>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181293" w:rsidRPr="00AB7A96" w:rsidRDefault="00181293" w:rsidP="00181293">
            <w:pPr>
              <w:spacing w:before="0" w:line="240" w:lineRule="auto"/>
              <w:rPr>
                <w:rFonts w:asciiTheme="minorHAnsi" w:eastAsiaTheme="minorHAnsi" w:hAnsiTheme="minorHAnsi"/>
                <w:szCs w:val="22"/>
                <w:lang w:eastAsia="en-US"/>
              </w:rPr>
            </w:pPr>
          </w:p>
          <w:p w:rsidR="00181293" w:rsidRPr="00AB7A96" w:rsidRDefault="00181293" w:rsidP="00181293">
            <w:pPr>
              <w:spacing w:before="0" w:line="240" w:lineRule="auto"/>
              <w:rPr>
                <w:rFonts w:asciiTheme="minorHAnsi" w:hAnsiTheme="minorHAnsi"/>
                <w:szCs w:val="22"/>
                <w:u w:val="single"/>
              </w:rPr>
            </w:pPr>
            <w:r w:rsidRPr="00AB7A96">
              <w:rPr>
                <w:rFonts w:asciiTheme="minorHAnsi" w:eastAsiaTheme="minorHAnsi" w:hAnsiTheme="minorHAnsi"/>
                <w:szCs w:val="22"/>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883" w:type="pct"/>
          </w:tcPr>
          <w:p w:rsidR="00181293" w:rsidRPr="00AB7A96" w:rsidRDefault="00181293" w:rsidP="00A603C0">
            <w:pPr>
              <w:spacing w:before="0" w:line="240" w:lineRule="auto"/>
              <w:jc w:val="center"/>
              <w:rPr>
                <w:rFonts w:asciiTheme="minorHAnsi" w:hAnsiTheme="minorHAnsi"/>
                <w:szCs w:val="22"/>
              </w:rPr>
            </w:pPr>
          </w:p>
          <w:p w:rsidR="00181293" w:rsidRPr="00AB7A96" w:rsidRDefault="00181293" w:rsidP="00A603C0">
            <w:pPr>
              <w:spacing w:before="0" w:line="240" w:lineRule="auto"/>
              <w:jc w:val="center"/>
              <w:rPr>
                <w:rFonts w:asciiTheme="minorHAnsi" w:hAnsiTheme="minorHAnsi"/>
                <w:szCs w:val="22"/>
              </w:rPr>
            </w:pPr>
          </w:p>
          <w:p w:rsidR="00181293" w:rsidRPr="00AB7A96" w:rsidRDefault="00181293" w:rsidP="00A603C0">
            <w:pPr>
              <w:spacing w:before="0" w:line="240" w:lineRule="auto"/>
              <w:jc w:val="center"/>
              <w:rPr>
                <w:rFonts w:asciiTheme="minorHAnsi" w:hAnsiTheme="minorHAnsi"/>
                <w:szCs w:val="22"/>
              </w:rPr>
            </w:pPr>
            <w:r w:rsidRPr="00AB7A96">
              <w:rPr>
                <w:rFonts w:cs="Arial"/>
                <w:sz w:val="20"/>
              </w:rPr>
              <w:t>horyzontalny</w:t>
            </w:r>
          </w:p>
        </w:tc>
      </w:tr>
    </w:tbl>
    <w:p w:rsidR="003D26F5" w:rsidRPr="00AB7A96" w:rsidRDefault="003D26F5" w:rsidP="00187C0F">
      <w:pPr>
        <w:spacing w:before="0" w:after="200" w:line="276" w:lineRule="auto"/>
        <w:rPr>
          <w:rFonts w:asciiTheme="minorHAnsi" w:hAnsiTheme="minorHAnsi"/>
          <w:b/>
          <w:szCs w:val="22"/>
        </w:rPr>
      </w:pPr>
    </w:p>
    <w:p w:rsidR="00DF6D97" w:rsidRPr="00AB7A96" w:rsidRDefault="00DF6D97" w:rsidP="00187C0F">
      <w:pPr>
        <w:spacing w:before="0" w:after="200" w:line="276" w:lineRule="auto"/>
        <w:rPr>
          <w:rFonts w:asciiTheme="minorHAnsi" w:hAnsiTheme="minorHAnsi" w:cs="Arial"/>
          <w:szCs w:val="22"/>
        </w:rPr>
      </w:pPr>
      <w:r w:rsidRPr="00AB7A96">
        <w:rPr>
          <w:rFonts w:asciiTheme="minorHAnsi" w:hAnsiTheme="minorHAnsi"/>
          <w:b/>
          <w:szCs w:val="22"/>
        </w:rPr>
        <w:t>Wskaźniki rezultatu bezpośredniego</w:t>
      </w:r>
      <w:r w:rsidRPr="00AB7A96">
        <w:rPr>
          <w:rFonts w:asciiTheme="minorHAnsi" w:hAnsiTheme="minorHAnsi"/>
          <w:szCs w:val="22"/>
        </w:rPr>
        <w:t xml:space="preserve"> są to w</w:t>
      </w:r>
      <w:r w:rsidRPr="00AB7A96">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AB7A96" w:rsidRDefault="00DF6D97" w:rsidP="00187C0F">
      <w:pPr>
        <w:pStyle w:val="Default"/>
        <w:rPr>
          <w:rFonts w:asciiTheme="minorHAnsi" w:hAnsiTheme="minorHAnsi"/>
          <w:sz w:val="22"/>
          <w:szCs w:val="22"/>
        </w:rPr>
      </w:pPr>
    </w:p>
    <w:p w:rsidR="00DF6D97" w:rsidRPr="00AB7A96" w:rsidRDefault="00DF6D97" w:rsidP="00187C0F">
      <w:pPr>
        <w:pStyle w:val="Default"/>
        <w:rPr>
          <w:rFonts w:asciiTheme="minorHAnsi" w:hAnsiTheme="minorHAnsi"/>
          <w:sz w:val="22"/>
          <w:szCs w:val="22"/>
        </w:rPr>
      </w:pPr>
      <w:r w:rsidRPr="00AB7A96">
        <w:rPr>
          <w:rFonts w:asciiTheme="minorHAnsi" w:hAnsiTheme="minorHAnsi"/>
          <w:sz w:val="22"/>
          <w:szCs w:val="22"/>
        </w:rPr>
        <w:t xml:space="preserve">Dla każdego z wybranych wskaźników Wnioskodawca zobowiązany jest do wskazania </w:t>
      </w:r>
      <w:r w:rsidRPr="00AB7A96">
        <w:rPr>
          <w:rFonts w:asciiTheme="minorHAnsi" w:hAnsiTheme="minorHAnsi"/>
          <w:i/>
          <w:sz w:val="22"/>
          <w:szCs w:val="22"/>
        </w:rPr>
        <w:t>„Jednostki miary”</w:t>
      </w:r>
      <w:r w:rsidRPr="00AB7A96">
        <w:rPr>
          <w:rFonts w:asciiTheme="minorHAnsi" w:hAnsiTheme="minorHAnsi"/>
          <w:sz w:val="22"/>
          <w:szCs w:val="22"/>
        </w:rPr>
        <w:t xml:space="preserve">, </w:t>
      </w:r>
      <w:r w:rsidRPr="00AB7A96">
        <w:rPr>
          <w:rFonts w:asciiTheme="minorHAnsi" w:hAnsiTheme="minorHAnsi"/>
          <w:i/>
          <w:sz w:val="22"/>
          <w:szCs w:val="22"/>
        </w:rPr>
        <w:t>„Wartości bazowej”</w:t>
      </w:r>
      <w:r w:rsidRPr="00AB7A96">
        <w:rPr>
          <w:rFonts w:asciiTheme="minorHAnsi" w:hAnsiTheme="minorHAnsi"/>
          <w:sz w:val="22"/>
          <w:szCs w:val="22"/>
        </w:rPr>
        <w:t xml:space="preserve">, </w:t>
      </w:r>
      <w:r w:rsidRPr="00AB7A96">
        <w:rPr>
          <w:rFonts w:asciiTheme="minorHAnsi" w:hAnsiTheme="minorHAnsi"/>
          <w:i/>
          <w:sz w:val="22"/>
          <w:szCs w:val="22"/>
        </w:rPr>
        <w:t>„Wartości docelowej wskaźnika”</w:t>
      </w:r>
      <w:r w:rsidRPr="00AB7A96">
        <w:rPr>
          <w:rFonts w:asciiTheme="minorHAnsi" w:hAnsiTheme="minorHAnsi"/>
          <w:sz w:val="22"/>
          <w:szCs w:val="22"/>
        </w:rPr>
        <w:t xml:space="preserve">, a także </w:t>
      </w:r>
      <w:r w:rsidRPr="00AB7A96">
        <w:rPr>
          <w:rFonts w:asciiTheme="minorHAnsi" w:hAnsiTheme="minorHAnsi"/>
          <w:i/>
          <w:sz w:val="22"/>
          <w:szCs w:val="22"/>
        </w:rPr>
        <w:t>„Źródła informacji o wskaźniku”</w:t>
      </w:r>
      <w:r w:rsidRPr="00AB7A96">
        <w:rPr>
          <w:rFonts w:asciiTheme="minorHAnsi" w:hAnsiTheme="minorHAnsi"/>
          <w:sz w:val="22"/>
          <w:szCs w:val="22"/>
        </w:rPr>
        <w:t xml:space="preserve">. </w:t>
      </w:r>
    </w:p>
    <w:p w:rsidR="00DF6D97" w:rsidRPr="00AB7A96" w:rsidRDefault="00DF6D97" w:rsidP="00187C0F">
      <w:pPr>
        <w:pStyle w:val="Default"/>
        <w:rPr>
          <w:rFonts w:asciiTheme="minorHAnsi" w:hAnsiTheme="minorHAnsi"/>
          <w:sz w:val="22"/>
          <w:szCs w:val="22"/>
        </w:rPr>
      </w:pPr>
      <w:r w:rsidRPr="00AB7A96">
        <w:rPr>
          <w:rFonts w:asciiTheme="minorHAnsi" w:hAnsiTheme="minorHAnsi"/>
          <w:sz w:val="22"/>
          <w:szCs w:val="22"/>
        </w:rPr>
        <w:t>Wartość docelowa dla wskaźnika rezultatu to wyrażony liczbowo stan danego wskaźnika uzyskany w efekcie realizacji projektu</w:t>
      </w:r>
      <w:r w:rsidR="00F9504B" w:rsidRPr="00AB7A96">
        <w:rPr>
          <w:rFonts w:asciiTheme="minorHAnsi" w:hAnsiTheme="minorHAnsi"/>
          <w:sz w:val="22"/>
          <w:szCs w:val="22"/>
        </w:rPr>
        <w:t>.</w:t>
      </w:r>
      <w:r w:rsidRPr="00AB7A96">
        <w:rPr>
          <w:rFonts w:asciiTheme="minorHAnsi" w:hAnsiTheme="minorHAnsi"/>
          <w:sz w:val="22"/>
          <w:szCs w:val="22"/>
        </w:rPr>
        <w:t xml:space="preserve"> </w:t>
      </w:r>
    </w:p>
    <w:p w:rsidR="00871F22" w:rsidRPr="00AB7A96" w:rsidRDefault="00871F22" w:rsidP="00187C0F">
      <w:pPr>
        <w:autoSpaceDE w:val="0"/>
        <w:autoSpaceDN w:val="0"/>
        <w:adjustRightInd w:val="0"/>
        <w:spacing w:before="0" w:line="240" w:lineRule="auto"/>
        <w:rPr>
          <w:rFonts w:asciiTheme="minorHAnsi" w:hAnsiTheme="minorHAnsi"/>
          <w:szCs w:val="22"/>
        </w:rPr>
      </w:pPr>
      <w:r w:rsidRPr="00AB7A96">
        <w:rPr>
          <w:rFonts w:asciiTheme="minorHAnsi" w:hAnsiTheme="minorHAnsi"/>
          <w:szCs w:val="22"/>
        </w:rPr>
        <w:t>Jako źródło informacji o wskaźniku wskazać należy odpowiedni dokument (np. ewidencja</w:t>
      </w:r>
      <w:r w:rsidR="00944996" w:rsidRPr="00AB7A96">
        <w:rPr>
          <w:rFonts w:asciiTheme="minorHAnsi" w:hAnsiTheme="minorHAnsi"/>
          <w:szCs w:val="22"/>
        </w:rPr>
        <w:t xml:space="preserve"> </w:t>
      </w:r>
      <w:r w:rsidR="00D23755" w:rsidRPr="00AB7A96">
        <w:rPr>
          <w:rFonts w:asciiTheme="minorHAnsi" w:hAnsiTheme="minorHAnsi"/>
          <w:szCs w:val="22"/>
        </w:rPr>
        <w:t>zgłoszeń patentowych</w:t>
      </w:r>
      <w:r w:rsidRPr="00AB7A96">
        <w:rPr>
          <w:rFonts w:asciiTheme="minorHAnsi" w:hAnsiTheme="minorHAnsi"/>
          <w:szCs w:val="22"/>
        </w:rPr>
        <w:t>.</w:t>
      </w:r>
    </w:p>
    <w:p w:rsidR="008C495E" w:rsidRPr="00AB7A96" w:rsidRDefault="003D3BC5" w:rsidP="00187C0F">
      <w:pPr>
        <w:autoSpaceDE w:val="0"/>
        <w:autoSpaceDN w:val="0"/>
        <w:adjustRightInd w:val="0"/>
        <w:spacing w:before="120" w:after="120" w:line="240" w:lineRule="auto"/>
        <w:rPr>
          <w:rFonts w:asciiTheme="minorHAnsi" w:hAnsiTheme="minorHAnsi"/>
          <w:szCs w:val="22"/>
        </w:rPr>
      </w:pPr>
      <w:r w:rsidRPr="00AB7A96">
        <w:rPr>
          <w:rFonts w:asciiTheme="minorHAnsi" w:hAnsiTheme="minorHAnsi"/>
          <w:szCs w:val="22"/>
        </w:rPr>
        <w:t xml:space="preserve">W ramach Działania </w:t>
      </w:r>
      <w:r w:rsidR="00A603C0" w:rsidRPr="00AB7A96">
        <w:rPr>
          <w:rFonts w:asciiTheme="minorHAnsi" w:hAnsiTheme="minorHAnsi"/>
          <w:szCs w:val="22"/>
        </w:rPr>
        <w:t>3.1</w:t>
      </w:r>
      <w:r w:rsidR="008F1A47" w:rsidRPr="00AB7A96">
        <w:rPr>
          <w:rFonts w:asciiTheme="minorHAnsi" w:hAnsiTheme="minorHAnsi"/>
          <w:szCs w:val="22"/>
        </w:rPr>
        <w:t>.</w:t>
      </w:r>
      <w:r w:rsidR="00E43265" w:rsidRPr="00AB7A96">
        <w:rPr>
          <w:rFonts w:asciiTheme="minorHAnsi" w:hAnsiTheme="minorHAnsi"/>
          <w:szCs w:val="22"/>
        </w:rPr>
        <w:t>A</w:t>
      </w:r>
      <w:r w:rsidR="008F1A47" w:rsidRPr="00AB7A96">
        <w:rPr>
          <w:rFonts w:asciiTheme="minorHAnsi" w:hAnsiTheme="minorHAnsi"/>
          <w:szCs w:val="22"/>
        </w:rPr>
        <w:t xml:space="preserve"> </w:t>
      </w:r>
      <w:r w:rsidRPr="00AB7A96">
        <w:rPr>
          <w:rFonts w:asciiTheme="minorHAnsi" w:hAnsiTheme="minorHAnsi"/>
          <w:szCs w:val="22"/>
        </w:rPr>
        <w:t>określono poniższe wskaźniki</w:t>
      </w:r>
      <w:r w:rsidRPr="00AB7A96">
        <w:rPr>
          <w:rFonts w:asciiTheme="minorHAnsi" w:hAnsiTheme="minorHAnsi"/>
          <w:b/>
          <w:szCs w:val="22"/>
        </w:rPr>
        <w:t xml:space="preserve"> rezultatu bezpośredniego</w:t>
      </w:r>
      <w:r w:rsidRPr="00AB7A96">
        <w:rPr>
          <w:rFonts w:asciiTheme="minorHAnsi" w:hAnsiTheme="minorHAnsi"/>
          <w:szCs w:val="22"/>
        </w:rPr>
        <w:t>:</w:t>
      </w:r>
    </w:p>
    <w:tbl>
      <w:tblPr>
        <w:tblW w:w="5191"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tblPr>
      <w:tblGrid>
        <w:gridCol w:w="2236"/>
        <w:gridCol w:w="1346"/>
        <w:gridCol w:w="4397"/>
        <w:gridCol w:w="1664"/>
      </w:tblGrid>
      <w:tr w:rsidR="00181293" w:rsidRPr="00AB7A96" w:rsidTr="00181293">
        <w:trPr>
          <w:cantSplit/>
          <w:trHeight w:val="20"/>
          <w:jc w:val="center"/>
        </w:trPr>
        <w:tc>
          <w:tcPr>
            <w:tcW w:w="1159" w:type="pct"/>
            <w:shd w:val="clear" w:color="auto" w:fill="auto"/>
            <w:vAlign w:val="center"/>
          </w:tcPr>
          <w:p w:rsidR="00181293" w:rsidRPr="00AB7A96" w:rsidRDefault="00181293" w:rsidP="00397FEE">
            <w:pPr>
              <w:spacing w:before="0" w:line="240" w:lineRule="auto"/>
              <w:jc w:val="center"/>
              <w:rPr>
                <w:rFonts w:asciiTheme="minorHAnsi" w:hAnsiTheme="minorHAnsi"/>
                <w:b/>
                <w:szCs w:val="22"/>
              </w:rPr>
            </w:pPr>
            <w:r w:rsidRPr="00AB7A96">
              <w:rPr>
                <w:rFonts w:asciiTheme="minorHAnsi" w:hAnsiTheme="minorHAnsi"/>
                <w:b/>
                <w:szCs w:val="22"/>
              </w:rPr>
              <w:t>Nazwa wskaźnika produktu</w:t>
            </w:r>
          </w:p>
        </w:tc>
        <w:tc>
          <w:tcPr>
            <w:tcW w:w="698" w:type="pct"/>
            <w:vAlign w:val="center"/>
          </w:tcPr>
          <w:p w:rsidR="00181293" w:rsidRPr="00AB7A96" w:rsidRDefault="00181293" w:rsidP="00397FEE">
            <w:pPr>
              <w:suppressAutoHyphens/>
              <w:spacing w:before="0" w:line="240" w:lineRule="auto"/>
              <w:jc w:val="center"/>
              <w:rPr>
                <w:rFonts w:asciiTheme="minorHAnsi" w:hAnsiTheme="minorHAnsi"/>
                <w:b/>
                <w:bCs/>
                <w:szCs w:val="22"/>
              </w:rPr>
            </w:pPr>
            <w:r w:rsidRPr="00AB7A96">
              <w:rPr>
                <w:rFonts w:asciiTheme="minorHAnsi" w:hAnsiTheme="minorHAnsi"/>
                <w:b/>
                <w:bCs/>
                <w:szCs w:val="22"/>
              </w:rPr>
              <w:t>Jednostka miary</w:t>
            </w:r>
          </w:p>
        </w:tc>
        <w:tc>
          <w:tcPr>
            <w:tcW w:w="2280" w:type="pct"/>
            <w:shd w:val="clear" w:color="auto" w:fill="auto"/>
            <w:vAlign w:val="center"/>
          </w:tcPr>
          <w:p w:rsidR="00181293" w:rsidRPr="00AB7A96" w:rsidRDefault="00181293" w:rsidP="00397FEE">
            <w:pPr>
              <w:suppressAutoHyphens/>
              <w:spacing w:before="0" w:line="240" w:lineRule="auto"/>
              <w:jc w:val="center"/>
              <w:rPr>
                <w:rFonts w:asciiTheme="minorHAnsi" w:hAnsiTheme="minorHAnsi"/>
                <w:b/>
                <w:szCs w:val="22"/>
              </w:rPr>
            </w:pPr>
            <w:r w:rsidRPr="00AB7A96">
              <w:rPr>
                <w:rFonts w:asciiTheme="minorHAnsi" w:hAnsiTheme="minorHAnsi"/>
                <w:b/>
                <w:bCs/>
                <w:szCs w:val="22"/>
              </w:rPr>
              <w:t>Definicja wskaźnika</w:t>
            </w:r>
          </w:p>
        </w:tc>
        <w:tc>
          <w:tcPr>
            <w:tcW w:w="863" w:type="pct"/>
            <w:vAlign w:val="center"/>
          </w:tcPr>
          <w:p w:rsidR="00181293" w:rsidRPr="00AB7A96" w:rsidRDefault="00181293" w:rsidP="00397FEE">
            <w:pPr>
              <w:suppressAutoHyphens/>
              <w:spacing w:before="0" w:line="240" w:lineRule="auto"/>
              <w:jc w:val="center"/>
              <w:rPr>
                <w:rFonts w:asciiTheme="minorHAnsi" w:hAnsiTheme="minorHAnsi"/>
                <w:b/>
                <w:bCs/>
                <w:szCs w:val="22"/>
              </w:rPr>
            </w:pPr>
            <w:r w:rsidRPr="00AB7A96">
              <w:rPr>
                <w:rFonts w:asciiTheme="minorHAnsi" w:hAnsiTheme="minorHAnsi"/>
                <w:b/>
                <w:bCs/>
                <w:szCs w:val="22"/>
              </w:rPr>
              <w:t>Rodzaj dokumentu, w którym określono wskaźnik</w:t>
            </w:r>
          </w:p>
        </w:tc>
      </w:tr>
      <w:tr w:rsidR="00181293" w:rsidRPr="00AB7A96" w:rsidTr="00D11F7F">
        <w:trPr>
          <w:trHeight w:val="524"/>
          <w:jc w:val="center"/>
        </w:trPr>
        <w:tc>
          <w:tcPr>
            <w:tcW w:w="1159" w:type="pct"/>
            <w:shd w:val="clear" w:color="auto" w:fill="auto"/>
          </w:tcPr>
          <w:p w:rsidR="00181293" w:rsidRPr="00AB7A96" w:rsidRDefault="00181293" w:rsidP="00181293">
            <w:pPr>
              <w:rPr>
                <w:rFonts w:asciiTheme="minorHAnsi" w:hAnsiTheme="minorHAnsi" w:cs="ArialNarrow"/>
                <w:sz w:val="20"/>
              </w:rPr>
            </w:pPr>
            <w:r w:rsidRPr="00AB7A96">
              <w:rPr>
                <w:rFonts w:cs="Arial"/>
                <w:sz w:val="20"/>
              </w:rPr>
              <w:t>Dodatkowa zdolność wytwarzania energii elektrycznej ze źródeł odnawialnych</w:t>
            </w:r>
            <w:r w:rsidRPr="00AB7A96">
              <w:rPr>
                <w:rFonts w:asciiTheme="minorHAnsi" w:hAnsiTheme="minorHAnsi" w:cs="ArialNarrow"/>
                <w:sz w:val="20"/>
              </w:rPr>
              <w:t xml:space="preserve"> </w:t>
            </w:r>
          </w:p>
        </w:tc>
        <w:tc>
          <w:tcPr>
            <w:tcW w:w="698" w:type="pct"/>
          </w:tcPr>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rPr>
                <w:rFonts w:asciiTheme="minorHAnsi" w:hAnsiTheme="minorHAnsi"/>
                <w:szCs w:val="22"/>
              </w:rPr>
            </w:pPr>
            <w:r w:rsidRPr="00AB7A96">
              <w:rPr>
                <w:rFonts w:cs="Arial"/>
              </w:rPr>
              <w:t>MWe</w:t>
            </w:r>
            <w:r w:rsidRPr="00AB7A96">
              <w:rPr>
                <w:rFonts w:asciiTheme="minorHAnsi" w:hAnsiTheme="minorHAnsi"/>
                <w:szCs w:val="22"/>
              </w:rPr>
              <w:t xml:space="preserve"> </w:t>
            </w:r>
          </w:p>
        </w:tc>
        <w:tc>
          <w:tcPr>
            <w:tcW w:w="2280" w:type="pct"/>
            <w:shd w:val="clear" w:color="auto" w:fill="auto"/>
          </w:tcPr>
          <w:p w:rsidR="00181293" w:rsidRDefault="00D11F7F" w:rsidP="00397FEE">
            <w:pPr>
              <w:spacing w:before="0" w:line="240" w:lineRule="auto"/>
              <w:rPr>
                <w:rFonts w:asciiTheme="minorHAnsi" w:hAnsiTheme="minorHAnsi"/>
                <w:szCs w:val="22"/>
              </w:rPr>
            </w:pPr>
            <w:r w:rsidRPr="00AB7A96">
              <w:rPr>
                <w:rFonts w:asciiTheme="minorHAnsi" w:hAnsiTheme="minorHAnsi"/>
                <w:szCs w:val="22"/>
              </w:rPr>
              <w:t xml:space="preserve">Wskaźnik dotyczy dodatkowej zdolności pozyskania mocy energii elektrycznej wybudowanych/zainstalowanych  urządzeń z OZE w projekcie  </w:t>
            </w:r>
          </w:p>
          <w:p w:rsidR="003577E7" w:rsidRPr="00527E6C" w:rsidRDefault="003577E7" w:rsidP="003577E7">
            <w:pPr>
              <w:spacing w:before="0" w:line="240" w:lineRule="auto"/>
              <w:rPr>
                <w:rFonts w:asciiTheme="minorHAnsi" w:hAnsiTheme="minorHAnsi"/>
                <w:szCs w:val="22"/>
                <w:u w:val="single"/>
                <w:lang w:val="en-US"/>
              </w:rPr>
            </w:pPr>
            <w:r>
              <w:rPr>
                <w:rFonts w:asciiTheme="minorHAnsi" w:hAnsiTheme="minorHAnsi"/>
                <w:szCs w:val="22"/>
                <w:u w:val="single"/>
              </w:rPr>
              <w:t xml:space="preserve">W oparciu o definicję wskaźnika </w:t>
            </w:r>
            <w:r w:rsidRPr="003577E7">
              <w:rPr>
                <w:rFonts w:asciiTheme="minorHAnsi" w:hAnsiTheme="minorHAnsi"/>
                <w:szCs w:val="22"/>
                <w:u w:val="single"/>
              </w:rPr>
              <w:t>Dodatkowa zdolność wytwarzania energii odnawialnej</w:t>
            </w:r>
            <w:r>
              <w:rPr>
                <w:rFonts w:asciiTheme="minorHAnsi" w:hAnsiTheme="minorHAnsi"/>
                <w:szCs w:val="22"/>
                <w:u w:val="single"/>
              </w:rPr>
              <w:t>:</w:t>
            </w:r>
            <w:r w:rsidRPr="003577E7">
              <w:rPr>
                <w:rFonts w:asciiTheme="minorHAnsi" w:hAnsiTheme="minorHAnsi"/>
                <w:szCs w:val="22"/>
                <w:u w:val="single"/>
              </w:rPr>
              <w:t xml:space="preserve"> </w:t>
            </w:r>
            <w:r>
              <w:rPr>
                <w:rFonts w:asciiTheme="minorHAnsi" w:hAnsiTheme="minorHAnsi"/>
                <w:szCs w:val="22"/>
                <w:u w:val="single"/>
              </w:rPr>
              <w:t xml:space="preserve"> </w:t>
            </w:r>
            <w:r w:rsidRPr="003577E7">
              <w:rPr>
                <w:rFonts w:asciiTheme="minorHAnsi" w:hAnsiTheme="minorHAnsi"/>
                <w:szCs w:val="22"/>
                <w:u w:val="single"/>
              </w:rPr>
              <w:t xml:space="preserve">Increase in energy production capacity of facilities using renewable energy resources, built/equipped by the project. </w:t>
            </w:r>
            <w:r w:rsidRPr="00527E6C">
              <w:rPr>
                <w:rFonts w:asciiTheme="minorHAnsi" w:hAnsiTheme="minorHAnsi"/>
                <w:szCs w:val="22"/>
                <w:u w:val="single"/>
                <w:lang w:val="en-US"/>
              </w:rPr>
              <w:t>Includes electricity and heat energy.</w:t>
            </w:r>
          </w:p>
          <w:p w:rsidR="003577E7" w:rsidRPr="003577E7" w:rsidRDefault="003577E7" w:rsidP="003577E7">
            <w:pPr>
              <w:spacing w:before="0" w:line="240" w:lineRule="auto"/>
              <w:rPr>
                <w:rFonts w:asciiTheme="minorHAnsi" w:hAnsiTheme="minorHAnsi"/>
                <w:szCs w:val="22"/>
                <w:u w:val="single"/>
              </w:rPr>
            </w:pPr>
            <w:r w:rsidRPr="00527E6C">
              <w:rPr>
                <w:rFonts w:asciiTheme="minorHAnsi" w:hAnsiTheme="minorHAnsi"/>
                <w:szCs w:val="22"/>
                <w:u w:val="single"/>
                <w:lang w:val="en-US"/>
              </w:rPr>
              <w:t xml:space="preserve">Renewable energy resource: Any energy source that is not fossil or nuclear. </w:t>
            </w:r>
            <w:r w:rsidRPr="003577E7">
              <w:rPr>
                <w:rFonts w:asciiTheme="minorHAnsi" w:hAnsiTheme="minorHAnsi"/>
                <w:szCs w:val="22"/>
                <w:u w:val="single"/>
              </w:rPr>
              <w:t>See regulation 2009/28, art. 2(a).</w:t>
            </w:r>
          </w:p>
          <w:p w:rsidR="003577E7" w:rsidRDefault="003577E7" w:rsidP="003577E7">
            <w:pPr>
              <w:spacing w:before="0" w:line="240" w:lineRule="auto"/>
              <w:rPr>
                <w:rFonts w:asciiTheme="minorHAnsi" w:hAnsiTheme="minorHAnsi"/>
                <w:szCs w:val="22"/>
                <w:u w:val="single"/>
              </w:rPr>
            </w:pPr>
            <w:r w:rsidRPr="003577E7">
              <w:rPr>
                <w:rFonts w:asciiTheme="minorHAnsi" w:hAnsiTheme="minorHAnsi"/>
                <w:szCs w:val="22"/>
                <w:u w:val="single"/>
              </w:rPr>
              <w:t xml:space="preserve">Odnawialne źródło energii (zgodnie z ustawą z dnia 10 kwietnia 1997 r. Prawo energetyczne) – źródło wykorzystujące w procesie przetwarzania energię wiatru, promieniowania słonecznego, aerotermalną, geotermalną, hydrotermalną, fal, prądów i pływów morskich, spadku rzek oraz energię pozyskiwaną z biomasy, biogazu pochodzącego ze składowisk odpadów, a także </w:t>
            </w:r>
            <w:r w:rsidRPr="003577E7">
              <w:rPr>
                <w:rFonts w:asciiTheme="minorHAnsi" w:hAnsiTheme="minorHAnsi"/>
                <w:szCs w:val="22"/>
                <w:u w:val="single"/>
              </w:rPr>
              <w:lastRenderedPageBreak/>
              <w:t>biogazu powstałego w procesach odprowadzania lub oczyszczania ścieków albo rozkładu składowanych szczątków roślinnych i zwierzęcych.</w:t>
            </w:r>
          </w:p>
          <w:p w:rsidR="003577E7" w:rsidRDefault="003577E7" w:rsidP="003577E7">
            <w:pPr>
              <w:spacing w:before="0" w:line="240" w:lineRule="auto"/>
              <w:rPr>
                <w:rFonts w:asciiTheme="minorHAnsi" w:hAnsiTheme="minorHAnsi"/>
                <w:szCs w:val="22"/>
                <w:u w:val="single"/>
              </w:rPr>
            </w:pPr>
          </w:p>
          <w:p w:rsidR="003577E7" w:rsidRPr="003577E7" w:rsidRDefault="003577E7" w:rsidP="003577E7">
            <w:pPr>
              <w:spacing w:before="0" w:line="240" w:lineRule="auto"/>
              <w:rPr>
                <w:rFonts w:asciiTheme="minorHAnsi" w:hAnsiTheme="minorHAnsi"/>
                <w:szCs w:val="22"/>
                <w:u w:val="single"/>
              </w:rPr>
            </w:pPr>
            <w:r w:rsidRPr="003577E7">
              <w:rPr>
                <w:rFonts w:asciiTheme="minorHAnsi" w:hAnsiTheme="minorHAnsi"/>
                <w:szCs w:val="22"/>
                <w:u w:val="single"/>
              </w:rPr>
              <w:t xml:space="preserve">Wskaźnik przedstawia o ile bezwzględnie wzrosła zdolność wytwarzania energii ze źródeł odnawialnych. </w:t>
            </w:r>
          </w:p>
          <w:p w:rsidR="003577E7" w:rsidRPr="003577E7" w:rsidRDefault="003577E7" w:rsidP="003577E7">
            <w:pPr>
              <w:spacing w:before="0" w:line="240" w:lineRule="auto"/>
              <w:rPr>
                <w:rFonts w:asciiTheme="minorHAnsi" w:hAnsiTheme="minorHAnsi"/>
                <w:szCs w:val="22"/>
                <w:u w:val="single"/>
              </w:rPr>
            </w:pPr>
          </w:p>
          <w:p w:rsidR="003577E7" w:rsidRPr="00AB7A96" w:rsidRDefault="003577E7" w:rsidP="003577E7">
            <w:pPr>
              <w:spacing w:before="0" w:line="240" w:lineRule="auto"/>
              <w:rPr>
                <w:rFonts w:asciiTheme="minorHAnsi" w:hAnsiTheme="minorHAnsi"/>
                <w:szCs w:val="22"/>
                <w:u w:val="single"/>
              </w:rPr>
            </w:pPr>
            <w:r w:rsidRPr="003577E7">
              <w:rPr>
                <w:rFonts w:asciiTheme="minorHAnsi" w:hAnsiTheme="minorHAnsi"/>
                <w:szCs w:val="22"/>
                <w:u w:val="single"/>
              </w:rPr>
              <w:t>Odnosząc wartość tego wskaźnika do danych o zdolności wytwarzania energii ogółem, podawanych przez statystykę publiczną, można określić o ile zmienił się udział wytwarzania energii ze źródeł odnawialnych w ogólnej produkcji energii.</w:t>
            </w:r>
          </w:p>
        </w:tc>
        <w:tc>
          <w:tcPr>
            <w:tcW w:w="863" w:type="pct"/>
          </w:tcPr>
          <w:p w:rsidR="00181293" w:rsidRPr="00AB7A96" w:rsidRDefault="00181293" w:rsidP="00397FEE">
            <w:pPr>
              <w:spacing w:before="0" w:line="240" w:lineRule="auto"/>
              <w:jc w:val="center"/>
              <w:rPr>
                <w:rFonts w:asciiTheme="minorHAnsi" w:hAnsiTheme="minorHAnsi"/>
                <w:szCs w:val="22"/>
              </w:rPr>
            </w:pPr>
          </w:p>
          <w:p w:rsidR="00181293" w:rsidRPr="00AB7A96" w:rsidRDefault="00181293" w:rsidP="00397FEE">
            <w:pPr>
              <w:spacing w:before="0" w:line="240" w:lineRule="auto"/>
              <w:jc w:val="center"/>
              <w:rPr>
                <w:rFonts w:asciiTheme="minorHAnsi" w:hAnsiTheme="minorHAnsi"/>
                <w:szCs w:val="22"/>
              </w:rPr>
            </w:pPr>
          </w:p>
          <w:p w:rsidR="00181293" w:rsidRPr="00AB7A96" w:rsidRDefault="00181293" w:rsidP="00397FEE">
            <w:pPr>
              <w:spacing w:before="0" w:line="240" w:lineRule="auto"/>
              <w:jc w:val="center"/>
              <w:rPr>
                <w:rFonts w:asciiTheme="minorHAnsi" w:hAnsiTheme="minorHAnsi"/>
                <w:szCs w:val="22"/>
              </w:rPr>
            </w:pPr>
            <w:r w:rsidRPr="00AB7A96">
              <w:rPr>
                <w:rFonts w:asciiTheme="minorHAnsi" w:hAnsiTheme="minorHAnsi"/>
                <w:szCs w:val="22"/>
              </w:rPr>
              <w:t>RPO WD</w:t>
            </w:r>
          </w:p>
          <w:p w:rsidR="00181293" w:rsidRPr="00AB7A96" w:rsidRDefault="00181293" w:rsidP="00397FEE">
            <w:pPr>
              <w:spacing w:before="0" w:line="240" w:lineRule="auto"/>
              <w:jc w:val="center"/>
              <w:rPr>
                <w:rFonts w:asciiTheme="minorHAnsi" w:hAnsiTheme="minorHAnsi"/>
                <w:szCs w:val="22"/>
              </w:rPr>
            </w:pPr>
            <w:r w:rsidRPr="00AB7A96">
              <w:rPr>
                <w:rFonts w:asciiTheme="minorHAnsi" w:hAnsiTheme="minorHAnsi"/>
                <w:szCs w:val="22"/>
              </w:rPr>
              <w:t>2014-2020</w:t>
            </w:r>
          </w:p>
        </w:tc>
      </w:tr>
      <w:tr w:rsidR="00181293" w:rsidRPr="00AB7A96" w:rsidTr="00D11F7F">
        <w:trPr>
          <w:trHeight w:val="1693"/>
          <w:jc w:val="center"/>
        </w:trPr>
        <w:tc>
          <w:tcPr>
            <w:tcW w:w="1159" w:type="pct"/>
            <w:shd w:val="clear" w:color="auto" w:fill="auto"/>
          </w:tcPr>
          <w:p w:rsidR="00181293" w:rsidRPr="00AB7A96" w:rsidRDefault="00181293" w:rsidP="00397FEE">
            <w:pPr>
              <w:rPr>
                <w:rFonts w:asciiTheme="minorHAnsi" w:hAnsiTheme="minorHAnsi" w:cs="ArialNarrow"/>
                <w:sz w:val="20"/>
              </w:rPr>
            </w:pPr>
            <w:r w:rsidRPr="00AB7A96">
              <w:rPr>
                <w:rFonts w:cs="Arial"/>
                <w:sz w:val="20"/>
              </w:rPr>
              <w:lastRenderedPageBreak/>
              <w:t>Dodatkowa zdolność wytwarzania energii cieplnej ze źródeł odnawialnych</w:t>
            </w:r>
          </w:p>
        </w:tc>
        <w:tc>
          <w:tcPr>
            <w:tcW w:w="698" w:type="pct"/>
          </w:tcPr>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r w:rsidRPr="00AB7A96">
              <w:rPr>
                <w:rFonts w:cs="Arial"/>
              </w:rPr>
              <w:t>MWt</w:t>
            </w:r>
          </w:p>
        </w:tc>
        <w:tc>
          <w:tcPr>
            <w:tcW w:w="2280" w:type="pct"/>
            <w:shd w:val="clear" w:color="auto" w:fill="auto"/>
          </w:tcPr>
          <w:p w:rsidR="00D11F7F" w:rsidRPr="00AB7A96" w:rsidRDefault="00D11F7F" w:rsidP="00D11F7F">
            <w:pPr>
              <w:autoSpaceDE w:val="0"/>
              <w:autoSpaceDN w:val="0"/>
              <w:adjustRightInd w:val="0"/>
              <w:spacing w:before="0" w:line="276" w:lineRule="auto"/>
              <w:jc w:val="both"/>
              <w:rPr>
                <w:rFonts w:asciiTheme="minorHAnsi" w:hAnsiTheme="minorHAnsi"/>
                <w:szCs w:val="22"/>
              </w:rPr>
            </w:pPr>
            <w:r w:rsidRPr="00AB7A96">
              <w:rPr>
                <w:rFonts w:asciiTheme="minorHAnsi" w:hAnsiTheme="minorHAnsi"/>
                <w:szCs w:val="22"/>
              </w:rPr>
              <w:t>Wskaźnik dotyczy dodatkowej zdolności pozyskania mocy energii cieplnej wybudowanych/zainstalowanych  urządzeń z OZE w projekcie</w:t>
            </w:r>
          </w:p>
          <w:p w:rsidR="00101429" w:rsidRPr="00527E6C" w:rsidRDefault="00101429" w:rsidP="00101429">
            <w:pPr>
              <w:spacing w:before="0" w:line="240" w:lineRule="auto"/>
              <w:rPr>
                <w:rFonts w:asciiTheme="minorHAnsi" w:hAnsiTheme="minorHAnsi"/>
                <w:szCs w:val="22"/>
                <w:u w:val="single"/>
                <w:lang w:val="en-US"/>
              </w:rPr>
            </w:pPr>
            <w:r>
              <w:rPr>
                <w:rFonts w:asciiTheme="minorHAnsi" w:hAnsiTheme="minorHAnsi"/>
                <w:szCs w:val="22"/>
                <w:u w:val="single"/>
              </w:rPr>
              <w:t xml:space="preserve">W oparciu o definicję wskaźnika </w:t>
            </w:r>
            <w:r w:rsidRPr="003577E7">
              <w:rPr>
                <w:rFonts w:asciiTheme="minorHAnsi" w:hAnsiTheme="minorHAnsi"/>
                <w:szCs w:val="22"/>
                <w:u w:val="single"/>
              </w:rPr>
              <w:t>Dodatkowa zdolność wytwarzania energii odnawialnej</w:t>
            </w:r>
            <w:r>
              <w:rPr>
                <w:rFonts w:asciiTheme="minorHAnsi" w:hAnsiTheme="minorHAnsi"/>
                <w:szCs w:val="22"/>
                <w:u w:val="single"/>
              </w:rPr>
              <w:t>:</w:t>
            </w:r>
            <w:r w:rsidRPr="003577E7">
              <w:rPr>
                <w:rFonts w:asciiTheme="minorHAnsi" w:hAnsiTheme="minorHAnsi"/>
                <w:szCs w:val="22"/>
                <w:u w:val="single"/>
              </w:rPr>
              <w:t xml:space="preserve"> </w:t>
            </w:r>
            <w:r>
              <w:rPr>
                <w:rFonts w:asciiTheme="minorHAnsi" w:hAnsiTheme="minorHAnsi"/>
                <w:szCs w:val="22"/>
                <w:u w:val="single"/>
              </w:rPr>
              <w:t xml:space="preserve"> </w:t>
            </w:r>
            <w:r w:rsidRPr="003577E7">
              <w:rPr>
                <w:rFonts w:asciiTheme="minorHAnsi" w:hAnsiTheme="minorHAnsi"/>
                <w:szCs w:val="22"/>
                <w:u w:val="single"/>
              </w:rPr>
              <w:t xml:space="preserve">Increase in energy production capacity of facilities using renewable energy resources, built/equipped by the project. </w:t>
            </w:r>
            <w:r w:rsidRPr="00527E6C">
              <w:rPr>
                <w:rFonts w:asciiTheme="minorHAnsi" w:hAnsiTheme="minorHAnsi"/>
                <w:szCs w:val="22"/>
                <w:u w:val="single"/>
                <w:lang w:val="en-US"/>
              </w:rPr>
              <w:t>Includes electricity and heat energy.</w:t>
            </w:r>
          </w:p>
          <w:p w:rsidR="00101429" w:rsidRPr="003577E7" w:rsidRDefault="00101429" w:rsidP="00101429">
            <w:pPr>
              <w:spacing w:before="0" w:line="240" w:lineRule="auto"/>
              <w:rPr>
                <w:rFonts w:asciiTheme="minorHAnsi" w:hAnsiTheme="minorHAnsi"/>
                <w:szCs w:val="22"/>
                <w:u w:val="single"/>
              </w:rPr>
            </w:pPr>
            <w:r w:rsidRPr="00527E6C">
              <w:rPr>
                <w:rFonts w:asciiTheme="minorHAnsi" w:hAnsiTheme="minorHAnsi"/>
                <w:szCs w:val="22"/>
                <w:u w:val="single"/>
                <w:lang w:val="en-US"/>
              </w:rPr>
              <w:t xml:space="preserve">Renewable energy resource: Any energy source that is not fossil or nuclear. </w:t>
            </w:r>
            <w:r w:rsidRPr="003577E7">
              <w:rPr>
                <w:rFonts w:asciiTheme="minorHAnsi" w:hAnsiTheme="minorHAnsi"/>
                <w:szCs w:val="22"/>
                <w:u w:val="single"/>
              </w:rPr>
              <w:t>See regulation 2009/28, art. 2(a).</w:t>
            </w:r>
          </w:p>
          <w:p w:rsidR="00101429" w:rsidRDefault="00101429" w:rsidP="00101429">
            <w:pPr>
              <w:spacing w:before="0" w:line="240" w:lineRule="auto"/>
              <w:rPr>
                <w:rFonts w:asciiTheme="minorHAnsi" w:hAnsiTheme="minorHAnsi"/>
                <w:szCs w:val="22"/>
                <w:u w:val="single"/>
              </w:rPr>
            </w:pPr>
            <w:r w:rsidRPr="003577E7">
              <w:rPr>
                <w:rFonts w:asciiTheme="minorHAnsi" w:hAnsiTheme="minorHAnsi"/>
                <w:szCs w:val="22"/>
                <w:u w:val="single"/>
              </w:rPr>
              <w:t>Odnawialne źródło energii (zgodnie z ustawą z dnia 10 kwietnia 1997 r. Prawo energetyczne) – źródło wykorzystujące w procesie przetwarzania energię wiatru, promieniowania słonecznego, aerotermalną, geotermalną, hydrotermalną, fal, prądów i pływów morskich, spadku rzek oraz energię pozyskiwaną z biomasy, biogazu pochodzącego ze składowisk odpadów, a także biogazu powstałego w procesach odprowadzania lub oczyszczania ścieków albo rozkładu składowanych szczątków roślinnych i zwierzęcych.</w:t>
            </w:r>
          </w:p>
          <w:p w:rsidR="00101429" w:rsidRDefault="00101429" w:rsidP="00101429">
            <w:pPr>
              <w:spacing w:before="0" w:line="240" w:lineRule="auto"/>
              <w:rPr>
                <w:rFonts w:asciiTheme="minorHAnsi" w:hAnsiTheme="minorHAnsi"/>
                <w:szCs w:val="22"/>
                <w:u w:val="single"/>
              </w:rPr>
            </w:pPr>
          </w:p>
          <w:p w:rsidR="00101429" w:rsidRPr="003577E7" w:rsidRDefault="00101429" w:rsidP="00101429">
            <w:pPr>
              <w:spacing w:before="0" w:line="240" w:lineRule="auto"/>
              <w:rPr>
                <w:rFonts w:asciiTheme="minorHAnsi" w:hAnsiTheme="minorHAnsi"/>
                <w:szCs w:val="22"/>
                <w:u w:val="single"/>
              </w:rPr>
            </w:pPr>
            <w:r w:rsidRPr="003577E7">
              <w:rPr>
                <w:rFonts w:asciiTheme="minorHAnsi" w:hAnsiTheme="minorHAnsi"/>
                <w:szCs w:val="22"/>
                <w:u w:val="single"/>
              </w:rPr>
              <w:t xml:space="preserve">Wskaźnik przedstawia o ile bezwzględnie wzrosła zdolność wytwarzania energii ze </w:t>
            </w:r>
            <w:r w:rsidRPr="003577E7">
              <w:rPr>
                <w:rFonts w:asciiTheme="minorHAnsi" w:hAnsiTheme="minorHAnsi"/>
                <w:szCs w:val="22"/>
                <w:u w:val="single"/>
              </w:rPr>
              <w:lastRenderedPageBreak/>
              <w:t xml:space="preserve">źródeł odnawialnych. </w:t>
            </w:r>
          </w:p>
          <w:p w:rsidR="00101429" w:rsidRPr="003577E7" w:rsidRDefault="00101429" w:rsidP="00101429">
            <w:pPr>
              <w:spacing w:before="0" w:line="240" w:lineRule="auto"/>
              <w:rPr>
                <w:rFonts w:asciiTheme="minorHAnsi" w:hAnsiTheme="minorHAnsi"/>
                <w:szCs w:val="22"/>
                <w:u w:val="single"/>
              </w:rPr>
            </w:pPr>
          </w:p>
          <w:p w:rsidR="00181293" w:rsidRPr="00AB7A96" w:rsidRDefault="00101429" w:rsidP="00101429">
            <w:pPr>
              <w:spacing w:before="0" w:line="240" w:lineRule="auto"/>
              <w:rPr>
                <w:rFonts w:asciiTheme="minorHAnsi" w:hAnsiTheme="minorHAnsi"/>
                <w:szCs w:val="22"/>
                <w:u w:val="single"/>
              </w:rPr>
            </w:pPr>
            <w:r w:rsidRPr="003577E7">
              <w:rPr>
                <w:rFonts w:asciiTheme="minorHAnsi" w:hAnsiTheme="minorHAnsi"/>
                <w:szCs w:val="22"/>
                <w:u w:val="single"/>
              </w:rPr>
              <w:t>Odnosząc wartość tego wskaźnika do danych o zdolności wytwarzania energii ogółem, podawanych przez statystykę publiczną, można określić o ile zmienił się udział wytwarzania energii ze źródeł odnawialnych w ogólnej produkcji energii.</w:t>
            </w:r>
          </w:p>
        </w:tc>
        <w:tc>
          <w:tcPr>
            <w:tcW w:w="863" w:type="pct"/>
          </w:tcPr>
          <w:p w:rsidR="00181293" w:rsidRPr="00AB7A96" w:rsidRDefault="00181293" w:rsidP="00397FEE">
            <w:pPr>
              <w:spacing w:before="0" w:line="240" w:lineRule="auto"/>
              <w:jc w:val="center"/>
              <w:rPr>
                <w:rFonts w:asciiTheme="minorHAnsi" w:hAnsiTheme="minorHAnsi"/>
                <w:szCs w:val="22"/>
              </w:rPr>
            </w:pPr>
          </w:p>
          <w:p w:rsidR="00181293" w:rsidRPr="00AB7A96" w:rsidRDefault="00181293" w:rsidP="00397FEE">
            <w:pPr>
              <w:spacing w:before="0" w:line="240" w:lineRule="auto"/>
              <w:jc w:val="center"/>
              <w:rPr>
                <w:rFonts w:asciiTheme="minorHAnsi" w:hAnsiTheme="minorHAnsi"/>
                <w:szCs w:val="22"/>
              </w:rPr>
            </w:pPr>
          </w:p>
          <w:p w:rsidR="00181293" w:rsidRPr="00AB7A96" w:rsidRDefault="00181293" w:rsidP="00181293">
            <w:pPr>
              <w:spacing w:before="0" w:line="240" w:lineRule="auto"/>
              <w:jc w:val="center"/>
              <w:rPr>
                <w:rFonts w:asciiTheme="minorHAnsi" w:hAnsiTheme="minorHAnsi"/>
                <w:szCs w:val="22"/>
              </w:rPr>
            </w:pPr>
            <w:r w:rsidRPr="00AB7A96">
              <w:rPr>
                <w:rFonts w:asciiTheme="minorHAnsi" w:hAnsiTheme="minorHAnsi"/>
                <w:szCs w:val="22"/>
              </w:rPr>
              <w:t>RPO WD</w:t>
            </w:r>
          </w:p>
          <w:p w:rsidR="00181293" w:rsidRPr="00AB7A96" w:rsidRDefault="00181293" w:rsidP="00181293">
            <w:pPr>
              <w:spacing w:before="0" w:line="240" w:lineRule="auto"/>
              <w:jc w:val="center"/>
              <w:rPr>
                <w:rFonts w:asciiTheme="minorHAnsi" w:hAnsiTheme="minorHAnsi"/>
                <w:szCs w:val="22"/>
              </w:rPr>
            </w:pPr>
            <w:r w:rsidRPr="00AB7A96">
              <w:rPr>
                <w:rFonts w:asciiTheme="minorHAnsi" w:hAnsiTheme="minorHAnsi"/>
                <w:szCs w:val="22"/>
              </w:rPr>
              <w:t>2014-2020</w:t>
            </w:r>
          </w:p>
        </w:tc>
      </w:tr>
      <w:tr w:rsidR="00181293" w:rsidRPr="00AB7A96" w:rsidTr="00181293">
        <w:trPr>
          <w:trHeight w:val="1121"/>
          <w:jc w:val="center"/>
        </w:trPr>
        <w:tc>
          <w:tcPr>
            <w:tcW w:w="1159" w:type="pct"/>
            <w:shd w:val="clear" w:color="auto" w:fill="auto"/>
          </w:tcPr>
          <w:p w:rsidR="00181293" w:rsidRPr="00AB7A96" w:rsidRDefault="00181293" w:rsidP="00397FEE">
            <w:pPr>
              <w:rPr>
                <w:rFonts w:cs="Arial"/>
                <w:sz w:val="20"/>
              </w:rPr>
            </w:pPr>
            <w:r w:rsidRPr="00AB7A96">
              <w:rPr>
                <w:rFonts w:cs="Arial"/>
                <w:sz w:val="20"/>
              </w:rPr>
              <w:lastRenderedPageBreak/>
              <w:t>Szacowany roczny spadek emisji gazów cieplarnianych [tony równoważnika CO</w:t>
            </w:r>
            <w:r w:rsidRPr="00AB7A96">
              <w:rPr>
                <w:rFonts w:cs="Arial"/>
                <w:sz w:val="20"/>
                <w:vertAlign w:val="subscript"/>
              </w:rPr>
              <w:t>2</w:t>
            </w:r>
            <w:r w:rsidRPr="00AB7A96">
              <w:rPr>
                <w:rFonts w:cs="Arial"/>
                <w:sz w:val="20"/>
              </w:rPr>
              <w:t>/rok</w:t>
            </w:r>
          </w:p>
        </w:tc>
        <w:tc>
          <w:tcPr>
            <w:tcW w:w="698" w:type="pct"/>
          </w:tcPr>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r w:rsidRPr="00AB7A96">
              <w:rPr>
                <w:rFonts w:cs="Arial"/>
              </w:rPr>
              <w:t>CO</w:t>
            </w:r>
            <w:r w:rsidRPr="00AB7A96">
              <w:rPr>
                <w:rFonts w:cs="Arial"/>
                <w:vertAlign w:val="subscript"/>
              </w:rPr>
              <w:t>2</w:t>
            </w:r>
            <w:r w:rsidRPr="00AB7A96">
              <w:rPr>
                <w:rFonts w:cs="Arial"/>
              </w:rPr>
              <w:t>/rok</w:t>
            </w:r>
          </w:p>
        </w:tc>
        <w:tc>
          <w:tcPr>
            <w:tcW w:w="2280" w:type="pct"/>
            <w:shd w:val="clear" w:color="auto" w:fill="auto"/>
          </w:tcPr>
          <w:p w:rsidR="004E719F" w:rsidRPr="00AB7A96" w:rsidRDefault="004E719F" w:rsidP="004E719F">
            <w:pPr>
              <w:autoSpaceDE w:val="0"/>
              <w:autoSpaceDN w:val="0"/>
              <w:adjustRightInd w:val="0"/>
              <w:spacing w:line="240" w:lineRule="auto"/>
              <w:jc w:val="both"/>
              <w:rPr>
                <w:rFonts w:asciiTheme="minorHAnsi" w:hAnsiTheme="minorHAnsi"/>
                <w:szCs w:val="22"/>
              </w:rPr>
            </w:pPr>
            <w:r w:rsidRPr="00AB7A96">
              <w:rPr>
                <w:rFonts w:asciiTheme="minorHAnsi" w:hAnsiTheme="minorHAnsi"/>
                <w:szCs w:val="22"/>
              </w:rPr>
              <w:t xml:space="preserve">Wersja robocza tłumaczenia: Wskaźnik ten jest liczony dla interwencji bezpośrednio zwiększających produkcję energii ze źródeł odnawialnych lub zmniejszających zużycie energii za pomocą działań uzyskujących oszczędność energii, dlatego też jego stosowanie jest obowiązkowe tylko w przypadkach, gdzie wskaźniki te są istotne. Stosowanie wskaźnika w przypadku innych interwencji, gdzie możliwe są skutki emisji gazów cieplarnianych, jest opcjonalne przy użyciu metodologii opracowanej przez IZ. Wskaźnik pokaże całkowity szacowany roczny spadek na koniec okresu, a nie całkowity spadek w całym okresie. W przypadku produkcji energii odnawialnej, prognoza opiera się na ilości energii pierwotnej produkowanej przez wsparte przedsiębiorstwa/ podmioty w danym roku (albo rok po zakończeniu projektu lub rok kalendarzowy po zakończeniu projektu). Energia odnawialna powinna być neutralna pod względem emisji gazów cieplarnianych i powinna zastąpić produkcję energii ze źródeł nieodnawialnych. Wpływ emisji gazów cieplarnianych w przypadku energii nieodnawialnej jest szacowany poprzez całkowitą emisję przez państwo członkowskie gazów cieplarnianych na jednostkę produkcji energii nieodnawialnej. W przypadku działań uzyskujących oszczędność energii, prognoza opiera się na ilości energii pierwotnej oszczędzonej w danym roku w ramach wspieranych operacji (albo rok po zakończeniu projektu, albo rok kalendarzowy po zakończeniu projektu). Zaoszczędzona energia </w:t>
            </w:r>
            <w:r w:rsidRPr="00AB7A96">
              <w:rPr>
                <w:rFonts w:asciiTheme="minorHAnsi" w:hAnsiTheme="minorHAnsi"/>
                <w:szCs w:val="22"/>
              </w:rPr>
              <w:lastRenderedPageBreak/>
              <w:t>ma zastąpić produkcję energii ze źródeł nieodnawialnych. Wpływ emisji gazów cieplarnianych w przypadku energii nieodnawialnej jest szacowany poprzez całkowitą emisję przez państwo członkowskie gazów</w:t>
            </w:r>
          </w:p>
          <w:p w:rsidR="00181293" w:rsidRPr="00AB7A96" w:rsidRDefault="004E719F" w:rsidP="004E719F">
            <w:pPr>
              <w:spacing w:before="0" w:line="240" w:lineRule="auto"/>
              <w:rPr>
                <w:rFonts w:asciiTheme="minorHAnsi" w:hAnsiTheme="minorHAnsi"/>
                <w:szCs w:val="22"/>
                <w:u w:val="single"/>
                <w:lang w:val="en-US"/>
              </w:rPr>
            </w:pPr>
            <w:r w:rsidRPr="00AB7A96">
              <w:rPr>
                <w:rFonts w:asciiTheme="minorHAnsi" w:hAnsiTheme="minorHAnsi"/>
                <w:szCs w:val="22"/>
              </w:rPr>
              <w:t xml:space="preserve">cieplarnianych na jednostkę produkcji energii nieodnawialnej. Szacunkowa wartość spadku emisji gazów cieplarnianych wynika wyłącznie z przeprowadzonych działań w tym zakresie, nie uwzględnia szacowanego spadku spowodowanego innymi czynnikami (np. ograniczeniem produkcji, zmiany profilu produkcji). </w:t>
            </w:r>
            <w:r w:rsidRPr="00AB7A96">
              <w:rPr>
                <w:rFonts w:asciiTheme="minorHAnsi" w:hAnsiTheme="minorHAnsi"/>
                <w:szCs w:val="22"/>
                <w:lang w:val="en-US"/>
              </w:rPr>
              <w:t xml:space="preserve">This indicator is calculated for interventions directly aiming to increase renewable energy production or to decrease energy consumption through energy saving measures, thus its use is mandatory only where these indicators are relevant. Uses for other interventions with possible GHG impact are optional with methodology developed by the MA. The indicator will show the total estimated of annual decrease by the end of the period, not the total decrease throughout the period. In case of renewable energy production, the estimate is based on the amount of primary energy produced by supported facilities in a given year (either one year following project completion or the calendar year after project completion). Renewable energy is supposed to be GHG neutral and replacing non-renewable energy production. GHG impact of nonrenewable energy is estimated through the MS total GHG emission per unit of non-renewable energy production. In case of energy saving measures, the estimate is based on the amount of primary energy saved through in a given year supported operations (either one year following project completion or the calendar year after project completion). Saved energy is supposed to be replacing nonrenewable energy production. GHG impact of non-renewable energy is estimated through the MS total GHG emission per unit of </w:t>
            </w:r>
            <w:r w:rsidRPr="00AB7A96">
              <w:rPr>
                <w:rFonts w:asciiTheme="minorHAnsi" w:hAnsiTheme="minorHAnsi"/>
                <w:szCs w:val="22"/>
                <w:lang w:val="en-US"/>
              </w:rPr>
              <w:lastRenderedPageBreak/>
              <w:t>nonrenewable energy production</w:t>
            </w:r>
          </w:p>
        </w:tc>
        <w:tc>
          <w:tcPr>
            <w:tcW w:w="863" w:type="pct"/>
          </w:tcPr>
          <w:p w:rsidR="00181293" w:rsidRPr="00AB7A96" w:rsidRDefault="00181293" w:rsidP="00397FEE">
            <w:pPr>
              <w:spacing w:before="0" w:line="240" w:lineRule="auto"/>
              <w:jc w:val="center"/>
              <w:rPr>
                <w:rFonts w:asciiTheme="minorHAnsi" w:hAnsiTheme="minorHAnsi"/>
                <w:szCs w:val="22"/>
                <w:lang w:val="en-US"/>
              </w:rPr>
            </w:pPr>
          </w:p>
          <w:p w:rsidR="00181293" w:rsidRPr="00AB7A96" w:rsidRDefault="00181293" w:rsidP="00397FEE">
            <w:pPr>
              <w:spacing w:before="0" w:line="240" w:lineRule="auto"/>
              <w:jc w:val="center"/>
              <w:rPr>
                <w:rFonts w:asciiTheme="minorHAnsi" w:hAnsiTheme="minorHAnsi"/>
                <w:szCs w:val="22"/>
                <w:lang w:val="en-US"/>
              </w:rPr>
            </w:pPr>
          </w:p>
          <w:p w:rsidR="00181293" w:rsidRPr="00AB7A96" w:rsidRDefault="00181293" w:rsidP="00397FEE">
            <w:pPr>
              <w:spacing w:before="0" w:line="240" w:lineRule="auto"/>
              <w:jc w:val="center"/>
              <w:rPr>
                <w:rFonts w:asciiTheme="minorHAnsi" w:hAnsiTheme="minorHAnsi"/>
                <w:szCs w:val="22"/>
                <w:lang w:val="en-US"/>
              </w:rPr>
            </w:pPr>
          </w:p>
          <w:p w:rsidR="00181293" w:rsidRPr="00AB7A96" w:rsidRDefault="00181293" w:rsidP="00181293">
            <w:pPr>
              <w:spacing w:before="0" w:line="240" w:lineRule="auto"/>
              <w:jc w:val="center"/>
              <w:rPr>
                <w:rFonts w:asciiTheme="minorHAnsi" w:hAnsiTheme="minorHAnsi"/>
                <w:szCs w:val="22"/>
              </w:rPr>
            </w:pPr>
            <w:r w:rsidRPr="00AB7A96">
              <w:rPr>
                <w:rFonts w:asciiTheme="minorHAnsi" w:hAnsiTheme="minorHAnsi"/>
                <w:szCs w:val="22"/>
              </w:rPr>
              <w:t>RPO WD</w:t>
            </w:r>
          </w:p>
          <w:p w:rsidR="00181293" w:rsidRPr="00AB7A96" w:rsidRDefault="00181293" w:rsidP="00181293">
            <w:pPr>
              <w:spacing w:before="0" w:line="240" w:lineRule="auto"/>
              <w:jc w:val="center"/>
              <w:rPr>
                <w:rFonts w:asciiTheme="minorHAnsi" w:hAnsiTheme="minorHAnsi"/>
                <w:szCs w:val="22"/>
              </w:rPr>
            </w:pPr>
            <w:r w:rsidRPr="00AB7A96">
              <w:rPr>
                <w:rFonts w:asciiTheme="minorHAnsi" w:hAnsiTheme="minorHAnsi"/>
                <w:szCs w:val="22"/>
              </w:rPr>
              <w:t>2014-2020</w:t>
            </w:r>
          </w:p>
        </w:tc>
      </w:tr>
      <w:tr w:rsidR="00181293" w:rsidRPr="00AB7A96" w:rsidTr="00181293">
        <w:trPr>
          <w:trHeight w:val="1121"/>
          <w:jc w:val="center"/>
        </w:trPr>
        <w:tc>
          <w:tcPr>
            <w:tcW w:w="1159" w:type="pct"/>
            <w:shd w:val="clear" w:color="auto" w:fill="auto"/>
          </w:tcPr>
          <w:p w:rsidR="00181293" w:rsidRPr="00AB7A96" w:rsidRDefault="00181293" w:rsidP="00397FEE">
            <w:pPr>
              <w:rPr>
                <w:rFonts w:cs="Arial"/>
                <w:sz w:val="20"/>
              </w:rPr>
            </w:pPr>
            <w:r w:rsidRPr="00AB7A96">
              <w:rPr>
                <w:sz w:val="20"/>
              </w:rPr>
              <w:lastRenderedPageBreak/>
              <w:t>Produkcja energii elektrycznej z nowo wybudowanych instalacji wykorzystujących OZE</w:t>
            </w:r>
          </w:p>
        </w:tc>
        <w:tc>
          <w:tcPr>
            <w:tcW w:w="698" w:type="pct"/>
          </w:tcPr>
          <w:p w:rsidR="00181293" w:rsidRPr="00AB7A96" w:rsidRDefault="00181293" w:rsidP="00397FEE">
            <w:pPr>
              <w:spacing w:before="0" w:line="240" w:lineRule="auto"/>
              <w:jc w:val="center"/>
              <w:rPr>
                <w:rFonts w:cs="Arial"/>
              </w:rPr>
            </w:pPr>
          </w:p>
          <w:p w:rsidR="00181293" w:rsidRPr="00AB7A96" w:rsidRDefault="00181293" w:rsidP="00397FEE">
            <w:pPr>
              <w:spacing w:before="0" w:line="240" w:lineRule="auto"/>
              <w:jc w:val="center"/>
              <w:rPr>
                <w:rFonts w:cs="Arial"/>
              </w:rPr>
            </w:pPr>
          </w:p>
          <w:p w:rsidR="00181293" w:rsidRPr="00AB7A96" w:rsidRDefault="00181293" w:rsidP="00397FEE">
            <w:pPr>
              <w:spacing w:before="0" w:line="240" w:lineRule="auto"/>
              <w:jc w:val="center"/>
              <w:rPr>
                <w:rFonts w:cs="Arial"/>
              </w:rPr>
            </w:pPr>
          </w:p>
          <w:p w:rsidR="00181293" w:rsidRPr="00AB7A96" w:rsidRDefault="00181293" w:rsidP="00397FEE">
            <w:pPr>
              <w:spacing w:before="0" w:line="240" w:lineRule="auto"/>
              <w:jc w:val="center"/>
              <w:rPr>
                <w:rFonts w:asciiTheme="minorHAnsi" w:hAnsiTheme="minorHAnsi" w:cs="ArialNarrow"/>
              </w:rPr>
            </w:pPr>
            <w:r w:rsidRPr="00AB7A96">
              <w:rPr>
                <w:rFonts w:cs="Arial"/>
              </w:rPr>
              <w:t>MWhe/rok</w:t>
            </w:r>
          </w:p>
        </w:tc>
        <w:tc>
          <w:tcPr>
            <w:tcW w:w="2280" w:type="pct"/>
            <w:shd w:val="clear" w:color="auto" w:fill="auto"/>
          </w:tcPr>
          <w:p w:rsidR="003577E7" w:rsidRDefault="003577E7" w:rsidP="00D11F7F">
            <w:pPr>
              <w:spacing w:before="0" w:line="240" w:lineRule="auto"/>
              <w:jc w:val="both"/>
              <w:rPr>
                <w:rFonts w:asciiTheme="minorHAnsi" w:eastAsiaTheme="minorHAnsi" w:hAnsiTheme="minorHAnsi" w:cs="Verdana"/>
                <w:szCs w:val="22"/>
                <w:lang w:eastAsia="en-US"/>
              </w:rPr>
            </w:pPr>
            <w:r w:rsidRPr="003577E7">
              <w:rPr>
                <w:rFonts w:asciiTheme="minorHAnsi" w:eastAsiaTheme="minorHAnsi" w:hAnsiTheme="minorHAnsi" w:cs="Verdana"/>
                <w:szCs w:val="22"/>
                <w:lang w:eastAsia="en-US"/>
              </w:rPr>
              <w:t xml:space="preserve">Podwskaźnik do common indicator: Dodatkowa zdolność wytwarzania energii odnawialnej / Additional capacity of renewable energy production </w:t>
            </w:r>
          </w:p>
          <w:p w:rsidR="00D11F7F" w:rsidRPr="00AB7A96" w:rsidRDefault="00D11F7F" w:rsidP="00D11F7F">
            <w:pPr>
              <w:spacing w:before="0" w:line="240" w:lineRule="auto"/>
              <w:jc w:val="both"/>
              <w:rPr>
                <w:rFonts w:asciiTheme="minorHAnsi" w:eastAsiaTheme="minorHAnsi" w:hAnsiTheme="minorHAnsi" w:cs="Verdana"/>
                <w:szCs w:val="22"/>
                <w:lang w:eastAsia="en-US"/>
              </w:rPr>
            </w:pPr>
            <w:r w:rsidRPr="00AB7A96">
              <w:rPr>
                <w:rFonts w:asciiTheme="minorHAnsi" w:eastAsiaTheme="minorHAnsi" w:hAnsiTheme="minorHAnsi" w:cs="Verdana"/>
                <w:szCs w:val="22"/>
                <w:lang w:eastAsia="en-US"/>
              </w:rPr>
              <w:t xml:space="preserve">Wskaźnik przedstawia o ile bezwzględnie wzrosła zdolność wytwarzania energii ze źródeł odnawialnych. </w:t>
            </w:r>
          </w:p>
          <w:p w:rsidR="00D11F7F" w:rsidRPr="00AB7A96" w:rsidRDefault="00D11F7F" w:rsidP="00D11F7F">
            <w:pPr>
              <w:spacing w:before="0" w:line="240" w:lineRule="auto"/>
              <w:jc w:val="both"/>
              <w:rPr>
                <w:rFonts w:asciiTheme="minorHAnsi" w:eastAsiaTheme="minorHAnsi" w:hAnsiTheme="minorHAnsi" w:cs="Verdana"/>
                <w:szCs w:val="22"/>
                <w:lang w:eastAsia="en-US"/>
              </w:rPr>
            </w:pPr>
          </w:p>
          <w:p w:rsidR="00181293" w:rsidRPr="00AB7A96" w:rsidRDefault="00D11F7F" w:rsidP="00D11F7F">
            <w:pPr>
              <w:spacing w:before="0" w:line="240" w:lineRule="auto"/>
              <w:rPr>
                <w:rFonts w:asciiTheme="minorHAnsi" w:hAnsiTheme="minorHAnsi"/>
                <w:szCs w:val="22"/>
                <w:u w:val="single"/>
              </w:rPr>
            </w:pPr>
            <w:r w:rsidRPr="00AB7A96">
              <w:rPr>
                <w:rFonts w:asciiTheme="minorHAnsi" w:eastAsiaTheme="minorHAnsi" w:hAnsiTheme="minorHAnsi" w:cs="Verdana"/>
                <w:szCs w:val="22"/>
                <w:lang w:eastAsia="en-US"/>
              </w:rPr>
              <w:t>Odnosząc wartość tego wskaźnika do danych o zdolności wytwarzania energii ogółem, podawanych przez statystykę publiczną, można określić o ile zmienił się udział wytwarzania energii ze źródeł odnawialnych w ogólnej produkcji energii.</w:t>
            </w:r>
          </w:p>
        </w:tc>
        <w:tc>
          <w:tcPr>
            <w:tcW w:w="863" w:type="pct"/>
          </w:tcPr>
          <w:p w:rsidR="00181293" w:rsidRPr="00AB7A96" w:rsidRDefault="00181293" w:rsidP="00397FEE">
            <w:pPr>
              <w:spacing w:before="0" w:line="240" w:lineRule="auto"/>
              <w:jc w:val="center"/>
              <w:rPr>
                <w:rFonts w:asciiTheme="minorHAnsi" w:hAnsiTheme="minorHAnsi"/>
                <w:szCs w:val="22"/>
              </w:rPr>
            </w:pPr>
            <w:r w:rsidRPr="00AB7A96">
              <w:rPr>
                <w:rFonts w:asciiTheme="minorHAnsi" w:hAnsiTheme="minorHAnsi"/>
                <w:szCs w:val="22"/>
              </w:rPr>
              <w:t>SZOOP</w:t>
            </w:r>
          </w:p>
        </w:tc>
      </w:tr>
      <w:tr w:rsidR="00181293" w:rsidRPr="00AB7A96" w:rsidTr="00181293">
        <w:trPr>
          <w:trHeight w:val="1121"/>
          <w:jc w:val="center"/>
        </w:trPr>
        <w:tc>
          <w:tcPr>
            <w:tcW w:w="1159" w:type="pct"/>
            <w:shd w:val="clear" w:color="auto" w:fill="auto"/>
          </w:tcPr>
          <w:p w:rsidR="00181293" w:rsidRPr="00AB7A96" w:rsidRDefault="00181293" w:rsidP="00397FEE">
            <w:pPr>
              <w:rPr>
                <w:rFonts w:cs="Arial"/>
                <w:sz w:val="20"/>
              </w:rPr>
            </w:pPr>
            <w:r w:rsidRPr="00AB7A96">
              <w:rPr>
                <w:sz w:val="20"/>
              </w:rPr>
              <w:t>Produkcja energii elektrycznej z nowych mocy wytwórczych instalacji wykorzystujących OZE</w:t>
            </w:r>
          </w:p>
        </w:tc>
        <w:tc>
          <w:tcPr>
            <w:tcW w:w="698" w:type="pct"/>
          </w:tcPr>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r w:rsidRPr="00AB7A96">
              <w:t>MWhe/rok</w:t>
            </w:r>
          </w:p>
        </w:tc>
        <w:tc>
          <w:tcPr>
            <w:tcW w:w="2280" w:type="pct"/>
            <w:shd w:val="clear" w:color="auto" w:fill="auto"/>
          </w:tcPr>
          <w:p w:rsidR="003577E7" w:rsidRDefault="003577E7" w:rsidP="00D11F7F">
            <w:pPr>
              <w:spacing w:before="0" w:line="240" w:lineRule="auto"/>
              <w:jc w:val="both"/>
              <w:rPr>
                <w:rFonts w:asciiTheme="minorHAnsi" w:eastAsiaTheme="minorHAnsi" w:hAnsiTheme="minorHAnsi" w:cs="Verdana"/>
                <w:szCs w:val="22"/>
                <w:lang w:eastAsia="en-US"/>
              </w:rPr>
            </w:pPr>
            <w:r w:rsidRPr="003577E7">
              <w:rPr>
                <w:rFonts w:asciiTheme="minorHAnsi" w:eastAsiaTheme="minorHAnsi" w:hAnsiTheme="minorHAnsi" w:cs="Verdana"/>
                <w:szCs w:val="22"/>
                <w:lang w:eastAsia="en-US"/>
              </w:rPr>
              <w:t xml:space="preserve">Podwskaźnik do common indicator: Dodatkowa zdolność wytwarzania energii odnawialnej / Additional capacity of renewable energy production </w:t>
            </w:r>
          </w:p>
          <w:p w:rsidR="00D11F7F" w:rsidRPr="00AB7A96" w:rsidRDefault="00D11F7F" w:rsidP="00D11F7F">
            <w:pPr>
              <w:spacing w:before="0" w:line="240" w:lineRule="auto"/>
              <w:jc w:val="both"/>
              <w:rPr>
                <w:rFonts w:asciiTheme="minorHAnsi" w:eastAsiaTheme="minorHAnsi" w:hAnsiTheme="minorHAnsi" w:cs="Verdana"/>
                <w:szCs w:val="22"/>
                <w:lang w:eastAsia="en-US"/>
              </w:rPr>
            </w:pPr>
            <w:r w:rsidRPr="00AB7A96">
              <w:rPr>
                <w:rFonts w:asciiTheme="minorHAnsi" w:eastAsiaTheme="minorHAnsi" w:hAnsiTheme="minorHAnsi" w:cs="Verdana"/>
                <w:szCs w:val="22"/>
                <w:lang w:eastAsia="en-US"/>
              </w:rPr>
              <w:t>Wskaźnik mierzy roczną wielkość produkcji energii elektrycznej z nowo wybudowanych/zamontowanych/przebudowaych jednostek wytwarzania energii wykorzystujących odnawialne źródła energii.</w:t>
            </w:r>
          </w:p>
          <w:p w:rsidR="00181293" w:rsidRPr="00AB7A96" w:rsidRDefault="00D11F7F" w:rsidP="00D11F7F">
            <w:pPr>
              <w:spacing w:before="0" w:line="240" w:lineRule="auto"/>
              <w:rPr>
                <w:rFonts w:asciiTheme="minorHAnsi" w:hAnsiTheme="minorHAnsi"/>
                <w:szCs w:val="22"/>
                <w:u w:val="single"/>
              </w:rPr>
            </w:pPr>
            <w:r w:rsidRPr="00AB7A96">
              <w:rPr>
                <w:rFonts w:asciiTheme="minorHAnsi" w:eastAsiaTheme="minorHAnsi" w:hAnsiTheme="minorHAnsi" w:cs="Verdana"/>
                <w:szCs w:val="22"/>
                <w:lang w:eastAsia="en-US"/>
              </w:rPr>
              <w:t>W przypadku jednostek przebudowanych w ramach wskaźnika wykazywana jest tylko ta część rocznej wielkości produkcji energii elektrycznej, która wynika z nowych mocy wytwórczych przebudowanej jednostki.</w:t>
            </w:r>
          </w:p>
        </w:tc>
        <w:tc>
          <w:tcPr>
            <w:tcW w:w="863" w:type="pct"/>
          </w:tcPr>
          <w:p w:rsidR="00181293" w:rsidRPr="00AB7A96" w:rsidRDefault="00181293" w:rsidP="00397FEE">
            <w:pPr>
              <w:spacing w:before="0" w:line="240" w:lineRule="auto"/>
              <w:jc w:val="center"/>
              <w:rPr>
                <w:rFonts w:asciiTheme="minorHAnsi" w:hAnsiTheme="minorHAnsi"/>
                <w:szCs w:val="22"/>
              </w:rPr>
            </w:pPr>
          </w:p>
          <w:p w:rsidR="00181293" w:rsidRPr="00AB7A96" w:rsidRDefault="00181293" w:rsidP="00397FEE">
            <w:pPr>
              <w:spacing w:before="0" w:line="240" w:lineRule="auto"/>
              <w:jc w:val="center"/>
              <w:rPr>
                <w:rFonts w:asciiTheme="minorHAnsi" w:hAnsiTheme="minorHAnsi"/>
                <w:szCs w:val="22"/>
              </w:rPr>
            </w:pPr>
          </w:p>
          <w:p w:rsidR="00181293" w:rsidRPr="00AB7A96" w:rsidRDefault="00181293" w:rsidP="00397FEE">
            <w:pPr>
              <w:spacing w:before="0" w:line="240" w:lineRule="auto"/>
              <w:jc w:val="center"/>
              <w:rPr>
                <w:rFonts w:asciiTheme="minorHAnsi" w:hAnsiTheme="minorHAnsi"/>
                <w:szCs w:val="22"/>
              </w:rPr>
            </w:pPr>
            <w:r w:rsidRPr="00AB7A96">
              <w:rPr>
                <w:rFonts w:asciiTheme="minorHAnsi" w:hAnsiTheme="minorHAnsi"/>
                <w:szCs w:val="22"/>
              </w:rPr>
              <w:t>SZOOP</w:t>
            </w:r>
          </w:p>
        </w:tc>
      </w:tr>
      <w:tr w:rsidR="00181293" w:rsidRPr="00AB7A96" w:rsidTr="00181293">
        <w:trPr>
          <w:trHeight w:val="1121"/>
          <w:jc w:val="center"/>
        </w:trPr>
        <w:tc>
          <w:tcPr>
            <w:tcW w:w="1159" w:type="pct"/>
            <w:shd w:val="clear" w:color="auto" w:fill="auto"/>
          </w:tcPr>
          <w:p w:rsidR="00181293" w:rsidRPr="00AB7A96" w:rsidRDefault="00181293" w:rsidP="00181293">
            <w:pPr>
              <w:rPr>
                <w:sz w:val="20"/>
              </w:rPr>
            </w:pPr>
            <w:r w:rsidRPr="00AB7A96">
              <w:rPr>
                <w:sz w:val="20"/>
              </w:rPr>
              <w:t>Produkcja energii cieplnej z nowo wybudowanych instalacji wykorzystujących OZE</w:t>
            </w:r>
          </w:p>
        </w:tc>
        <w:tc>
          <w:tcPr>
            <w:tcW w:w="698" w:type="pct"/>
          </w:tcPr>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p>
          <w:p w:rsidR="00181293" w:rsidRPr="00AB7A96" w:rsidRDefault="00181293" w:rsidP="00397FEE">
            <w:pPr>
              <w:spacing w:before="0" w:line="240" w:lineRule="auto"/>
              <w:jc w:val="center"/>
              <w:rPr>
                <w:rFonts w:asciiTheme="minorHAnsi" w:hAnsiTheme="minorHAnsi" w:cs="ArialNarrow"/>
              </w:rPr>
            </w:pPr>
            <w:r w:rsidRPr="00AB7A96">
              <w:t>MWht/rok</w:t>
            </w:r>
          </w:p>
        </w:tc>
        <w:tc>
          <w:tcPr>
            <w:tcW w:w="2280" w:type="pct"/>
            <w:shd w:val="clear" w:color="auto" w:fill="auto"/>
          </w:tcPr>
          <w:p w:rsidR="003577E7" w:rsidRDefault="003577E7" w:rsidP="00D11F7F">
            <w:pPr>
              <w:spacing w:before="0" w:line="240" w:lineRule="auto"/>
              <w:jc w:val="both"/>
              <w:rPr>
                <w:rFonts w:asciiTheme="minorHAnsi" w:eastAsiaTheme="minorHAnsi" w:hAnsiTheme="minorHAnsi" w:cs="Verdana"/>
                <w:szCs w:val="22"/>
                <w:lang w:eastAsia="en-US"/>
              </w:rPr>
            </w:pPr>
            <w:r w:rsidRPr="003577E7">
              <w:rPr>
                <w:rFonts w:asciiTheme="minorHAnsi" w:eastAsiaTheme="minorHAnsi" w:hAnsiTheme="minorHAnsi" w:cs="Verdana"/>
                <w:szCs w:val="22"/>
                <w:lang w:eastAsia="en-US"/>
              </w:rPr>
              <w:t>Podwskaźnik do common indicator: Dodatkowa zdolność wytwarzania energii odnawialnej / Additional capacity of renewable energy production</w:t>
            </w:r>
          </w:p>
          <w:p w:rsidR="00D11F7F" w:rsidRPr="00AB7A96" w:rsidRDefault="00D11F7F" w:rsidP="00D11F7F">
            <w:pPr>
              <w:spacing w:before="0" w:line="240" w:lineRule="auto"/>
              <w:jc w:val="both"/>
              <w:rPr>
                <w:rFonts w:asciiTheme="minorHAnsi" w:eastAsiaTheme="minorHAnsi" w:hAnsiTheme="minorHAnsi" w:cs="Verdana"/>
                <w:szCs w:val="22"/>
                <w:lang w:eastAsia="en-US"/>
              </w:rPr>
            </w:pPr>
            <w:r w:rsidRPr="00AB7A96">
              <w:rPr>
                <w:rFonts w:asciiTheme="minorHAnsi" w:eastAsiaTheme="minorHAnsi" w:hAnsiTheme="minorHAnsi" w:cs="Verdana"/>
                <w:szCs w:val="22"/>
                <w:lang w:eastAsia="en-US"/>
              </w:rPr>
              <w:t xml:space="preserve">Wskaźnik przedstawia o ile bezwzględnie wzrosła zdolność wytwarzania energii ze źródeł odnawialnych. </w:t>
            </w:r>
          </w:p>
          <w:p w:rsidR="00D11F7F" w:rsidRPr="00AB7A96" w:rsidRDefault="00D11F7F" w:rsidP="00D11F7F">
            <w:pPr>
              <w:spacing w:before="0" w:line="240" w:lineRule="auto"/>
              <w:jc w:val="both"/>
              <w:rPr>
                <w:rFonts w:asciiTheme="minorHAnsi" w:eastAsiaTheme="minorHAnsi" w:hAnsiTheme="minorHAnsi" w:cs="Verdana"/>
                <w:szCs w:val="22"/>
                <w:lang w:eastAsia="en-US"/>
              </w:rPr>
            </w:pPr>
          </w:p>
          <w:p w:rsidR="00181293" w:rsidRPr="00AB7A96" w:rsidRDefault="00D11F7F" w:rsidP="00D11F7F">
            <w:pPr>
              <w:spacing w:before="0" w:line="240" w:lineRule="auto"/>
              <w:rPr>
                <w:rFonts w:asciiTheme="minorHAnsi" w:hAnsiTheme="minorHAnsi"/>
                <w:szCs w:val="22"/>
                <w:u w:val="single"/>
              </w:rPr>
            </w:pPr>
            <w:r w:rsidRPr="00AB7A96">
              <w:rPr>
                <w:rFonts w:asciiTheme="minorHAnsi" w:eastAsiaTheme="minorHAnsi" w:hAnsiTheme="minorHAnsi" w:cs="Verdana"/>
                <w:szCs w:val="22"/>
                <w:lang w:eastAsia="en-US"/>
              </w:rPr>
              <w:t xml:space="preserve">Odnosząc wartość tego wskaźnika do danych o zdolności wytwarzania energii ogółem, podawanych przez statystykę publiczną, można określić o ile zmienił się udział wytwarzania energii ze źródeł odnawialnych w </w:t>
            </w:r>
            <w:r w:rsidRPr="00AB7A96">
              <w:rPr>
                <w:rFonts w:asciiTheme="minorHAnsi" w:eastAsiaTheme="minorHAnsi" w:hAnsiTheme="minorHAnsi" w:cs="Verdana"/>
                <w:szCs w:val="22"/>
                <w:lang w:eastAsia="en-US"/>
              </w:rPr>
              <w:lastRenderedPageBreak/>
              <w:t>ogólnej produkcji energii.</w:t>
            </w:r>
          </w:p>
        </w:tc>
        <w:tc>
          <w:tcPr>
            <w:tcW w:w="863" w:type="pct"/>
          </w:tcPr>
          <w:p w:rsidR="00181293" w:rsidRPr="00AB7A96" w:rsidRDefault="00181293" w:rsidP="00397FEE">
            <w:pPr>
              <w:spacing w:before="0" w:line="240" w:lineRule="auto"/>
              <w:jc w:val="center"/>
              <w:rPr>
                <w:rFonts w:asciiTheme="minorHAnsi" w:hAnsiTheme="minorHAnsi"/>
                <w:szCs w:val="22"/>
              </w:rPr>
            </w:pPr>
          </w:p>
          <w:p w:rsidR="00181293" w:rsidRPr="00AB7A96" w:rsidRDefault="00181293" w:rsidP="00397FEE">
            <w:pPr>
              <w:spacing w:before="0" w:line="240" w:lineRule="auto"/>
              <w:jc w:val="center"/>
              <w:rPr>
                <w:rFonts w:asciiTheme="minorHAnsi" w:hAnsiTheme="minorHAnsi"/>
                <w:szCs w:val="22"/>
              </w:rPr>
            </w:pPr>
          </w:p>
          <w:p w:rsidR="00181293" w:rsidRPr="00AB7A96" w:rsidRDefault="00181293" w:rsidP="00397FEE">
            <w:pPr>
              <w:spacing w:before="0" w:line="240" w:lineRule="auto"/>
              <w:jc w:val="center"/>
              <w:rPr>
                <w:rFonts w:asciiTheme="minorHAnsi" w:hAnsiTheme="minorHAnsi"/>
                <w:szCs w:val="22"/>
              </w:rPr>
            </w:pPr>
            <w:r w:rsidRPr="00AB7A96">
              <w:rPr>
                <w:rFonts w:asciiTheme="minorHAnsi" w:hAnsiTheme="minorHAnsi"/>
                <w:szCs w:val="22"/>
              </w:rPr>
              <w:t>SZOOP</w:t>
            </w:r>
          </w:p>
        </w:tc>
      </w:tr>
      <w:tr w:rsidR="006667A2" w:rsidRPr="00AB7A96" w:rsidTr="00181293">
        <w:trPr>
          <w:trHeight w:val="1121"/>
          <w:jc w:val="center"/>
        </w:trPr>
        <w:tc>
          <w:tcPr>
            <w:tcW w:w="1159" w:type="pct"/>
            <w:shd w:val="clear" w:color="auto" w:fill="auto"/>
          </w:tcPr>
          <w:p w:rsidR="006667A2" w:rsidRPr="00AB7A96" w:rsidRDefault="006667A2" w:rsidP="00181293">
            <w:pPr>
              <w:rPr>
                <w:sz w:val="20"/>
              </w:rPr>
            </w:pPr>
            <w:r w:rsidRPr="00AB7A96">
              <w:rPr>
                <w:sz w:val="20"/>
              </w:rPr>
              <w:lastRenderedPageBreak/>
              <w:t>Produkcja energii cieplnej z nowych mocy wytwórczych instalacji wykorzystujących OZE</w:t>
            </w:r>
          </w:p>
        </w:tc>
        <w:tc>
          <w:tcPr>
            <w:tcW w:w="698" w:type="pct"/>
          </w:tcPr>
          <w:p w:rsidR="006667A2" w:rsidRPr="00AB7A96" w:rsidRDefault="006667A2" w:rsidP="00397FEE">
            <w:pPr>
              <w:spacing w:before="0" w:line="240" w:lineRule="auto"/>
              <w:jc w:val="center"/>
              <w:rPr>
                <w:rFonts w:asciiTheme="minorHAnsi" w:hAnsiTheme="minorHAnsi" w:cs="ArialNarrow"/>
              </w:rPr>
            </w:pPr>
          </w:p>
          <w:p w:rsidR="006667A2" w:rsidRPr="00AB7A96" w:rsidRDefault="006667A2" w:rsidP="00397FEE">
            <w:pPr>
              <w:spacing w:before="0" w:line="240" w:lineRule="auto"/>
              <w:jc w:val="center"/>
              <w:rPr>
                <w:rFonts w:asciiTheme="minorHAnsi" w:hAnsiTheme="minorHAnsi" w:cs="ArialNarrow"/>
              </w:rPr>
            </w:pPr>
          </w:p>
          <w:p w:rsidR="006667A2" w:rsidRPr="00AB7A96" w:rsidRDefault="006667A2" w:rsidP="00397FEE">
            <w:pPr>
              <w:spacing w:before="0" w:line="240" w:lineRule="auto"/>
              <w:jc w:val="center"/>
              <w:rPr>
                <w:rFonts w:asciiTheme="minorHAnsi" w:hAnsiTheme="minorHAnsi" w:cs="ArialNarrow"/>
              </w:rPr>
            </w:pPr>
            <w:r w:rsidRPr="00AB7A96">
              <w:t>MWht/rok</w:t>
            </w:r>
          </w:p>
        </w:tc>
        <w:tc>
          <w:tcPr>
            <w:tcW w:w="2280" w:type="pct"/>
            <w:shd w:val="clear" w:color="auto" w:fill="auto"/>
          </w:tcPr>
          <w:p w:rsidR="003577E7" w:rsidRDefault="003577E7" w:rsidP="00D11F7F">
            <w:pPr>
              <w:spacing w:before="0" w:line="240" w:lineRule="auto"/>
              <w:jc w:val="both"/>
              <w:rPr>
                <w:rFonts w:asciiTheme="minorHAnsi" w:eastAsiaTheme="minorHAnsi" w:hAnsiTheme="minorHAnsi" w:cs="Verdana"/>
                <w:szCs w:val="22"/>
                <w:lang w:eastAsia="en-US"/>
              </w:rPr>
            </w:pPr>
            <w:r w:rsidRPr="003577E7">
              <w:rPr>
                <w:rFonts w:asciiTheme="minorHAnsi" w:eastAsiaTheme="minorHAnsi" w:hAnsiTheme="minorHAnsi" w:cs="Verdana"/>
                <w:szCs w:val="22"/>
                <w:lang w:eastAsia="en-US"/>
              </w:rPr>
              <w:t>Podwskaźnik do common indicator: Dodatkowa zdolność wytwarzania energii odnawialnej / Additional capacity of renewable energy production</w:t>
            </w:r>
          </w:p>
          <w:p w:rsidR="00D11F7F" w:rsidRPr="00AB7A96" w:rsidRDefault="00D11F7F" w:rsidP="00D11F7F">
            <w:pPr>
              <w:spacing w:before="0" w:line="240" w:lineRule="auto"/>
              <w:jc w:val="both"/>
              <w:rPr>
                <w:rFonts w:asciiTheme="minorHAnsi" w:eastAsiaTheme="minorHAnsi" w:hAnsiTheme="minorHAnsi" w:cs="Verdana"/>
                <w:szCs w:val="22"/>
                <w:lang w:eastAsia="en-US"/>
              </w:rPr>
            </w:pPr>
            <w:r w:rsidRPr="00AB7A96">
              <w:rPr>
                <w:rFonts w:asciiTheme="minorHAnsi" w:eastAsiaTheme="minorHAnsi" w:hAnsiTheme="minorHAnsi" w:cs="Verdana"/>
                <w:szCs w:val="22"/>
                <w:lang w:eastAsia="en-US"/>
              </w:rPr>
              <w:t>Wskaźnik mierzy roczną wielkość produkcji energii cieplnej z nowo wybudowanych/zamontowanych/przebudowanych jednostek wytwarzania energii wykorzystujących odnawialne źródła energii.</w:t>
            </w:r>
          </w:p>
          <w:p w:rsidR="00D11F7F" w:rsidRPr="00AB7A96" w:rsidRDefault="00D11F7F" w:rsidP="00D11F7F">
            <w:pPr>
              <w:spacing w:before="0" w:line="240" w:lineRule="auto"/>
              <w:jc w:val="both"/>
              <w:rPr>
                <w:rFonts w:asciiTheme="minorHAnsi" w:eastAsiaTheme="minorHAnsi" w:hAnsiTheme="minorHAnsi" w:cs="Verdana"/>
                <w:szCs w:val="22"/>
                <w:lang w:eastAsia="en-US"/>
              </w:rPr>
            </w:pPr>
            <w:r w:rsidRPr="00AB7A96">
              <w:rPr>
                <w:rFonts w:asciiTheme="minorHAnsi" w:eastAsiaTheme="minorHAnsi" w:hAnsiTheme="minorHAnsi" w:cs="Verdana"/>
                <w:szCs w:val="22"/>
                <w:lang w:eastAsia="en-US"/>
              </w:rPr>
              <w:t>W przypadku jednostek przebudowanych w ramach wskaźnika wykazywana jest tylko ta</w:t>
            </w:r>
          </w:p>
          <w:p w:rsidR="006667A2" w:rsidRPr="00AB7A96" w:rsidRDefault="00D11F7F" w:rsidP="00D11F7F">
            <w:pPr>
              <w:spacing w:before="0" w:line="240" w:lineRule="auto"/>
              <w:rPr>
                <w:rFonts w:asciiTheme="minorHAnsi" w:hAnsiTheme="minorHAnsi"/>
                <w:szCs w:val="22"/>
                <w:u w:val="single"/>
              </w:rPr>
            </w:pPr>
            <w:r w:rsidRPr="00AB7A96">
              <w:rPr>
                <w:rFonts w:asciiTheme="minorHAnsi" w:eastAsiaTheme="minorHAnsi" w:hAnsiTheme="minorHAnsi" w:cs="Verdana"/>
                <w:szCs w:val="22"/>
                <w:lang w:eastAsia="en-US"/>
              </w:rPr>
              <w:t>część rocznej wielkości produkcji energii cieplnej, która wynika z nowych mocy wytwórczych przebudowanej jednostki.</w:t>
            </w:r>
          </w:p>
        </w:tc>
        <w:tc>
          <w:tcPr>
            <w:tcW w:w="863" w:type="pct"/>
          </w:tcPr>
          <w:p w:rsidR="006667A2" w:rsidRPr="00AB7A96" w:rsidRDefault="006667A2" w:rsidP="00397FEE">
            <w:pPr>
              <w:spacing w:before="0" w:line="240" w:lineRule="auto"/>
              <w:jc w:val="center"/>
              <w:rPr>
                <w:rFonts w:asciiTheme="minorHAnsi" w:hAnsiTheme="minorHAnsi"/>
                <w:szCs w:val="22"/>
              </w:rPr>
            </w:pPr>
          </w:p>
          <w:p w:rsidR="006667A2" w:rsidRPr="00AB7A96" w:rsidRDefault="006667A2" w:rsidP="00397FEE">
            <w:pPr>
              <w:spacing w:before="0" w:line="240" w:lineRule="auto"/>
              <w:jc w:val="center"/>
              <w:rPr>
                <w:rFonts w:asciiTheme="minorHAnsi" w:hAnsiTheme="minorHAnsi"/>
                <w:szCs w:val="22"/>
              </w:rPr>
            </w:pPr>
          </w:p>
          <w:p w:rsidR="006667A2" w:rsidRPr="00AB7A96" w:rsidRDefault="006667A2" w:rsidP="00397FEE">
            <w:pPr>
              <w:spacing w:before="0" w:line="240" w:lineRule="auto"/>
              <w:jc w:val="center"/>
              <w:rPr>
                <w:rFonts w:asciiTheme="minorHAnsi" w:hAnsiTheme="minorHAnsi"/>
                <w:szCs w:val="22"/>
              </w:rPr>
            </w:pPr>
            <w:r w:rsidRPr="00AB7A96">
              <w:rPr>
                <w:rFonts w:asciiTheme="minorHAnsi" w:hAnsiTheme="minorHAnsi"/>
                <w:szCs w:val="22"/>
              </w:rPr>
              <w:t>SZOOP</w:t>
            </w:r>
          </w:p>
        </w:tc>
      </w:tr>
      <w:tr w:rsidR="006667A2" w:rsidRPr="00AB7A96" w:rsidTr="00181293">
        <w:trPr>
          <w:trHeight w:val="1121"/>
          <w:jc w:val="center"/>
        </w:trPr>
        <w:tc>
          <w:tcPr>
            <w:tcW w:w="1159" w:type="pct"/>
            <w:shd w:val="clear" w:color="auto" w:fill="auto"/>
          </w:tcPr>
          <w:p w:rsidR="006667A2" w:rsidRPr="00AB7A96" w:rsidRDefault="006667A2" w:rsidP="00181293">
            <w:r w:rsidRPr="00AB7A96">
              <w:rPr>
                <w:sz w:val="20"/>
              </w:rPr>
              <w:t>Wzrost zatrudnienia we wspieranych przedsiębiorstwach O/K/M</w:t>
            </w:r>
          </w:p>
        </w:tc>
        <w:tc>
          <w:tcPr>
            <w:tcW w:w="698" w:type="pct"/>
          </w:tcPr>
          <w:p w:rsidR="006667A2" w:rsidRPr="00AB7A96" w:rsidRDefault="006667A2" w:rsidP="00397FEE">
            <w:pPr>
              <w:spacing w:before="0" w:line="240" w:lineRule="auto"/>
              <w:jc w:val="center"/>
              <w:rPr>
                <w:rFonts w:asciiTheme="minorHAnsi" w:hAnsiTheme="minorHAnsi" w:cs="ArialNarrow"/>
              </w:rPr>
            </w:pPr>
          </w:p>
          <w:p w:rsidR="006667A2" w:rsidRPr="00AB7A96" w:rsidRDefault="006667A2" w:rsidP="00397FEE">
            <w:pPr>
              <w:spacing w:before="0" w:line="240" w:lineRule="auto"/>
              <w:jc w:val="center"/>
              <w:rPr>
                <w:rFonts w:asciiTheme="minorHAnsi" w:hAnsiTheme="minorHAnsi" w:cs="ArialNarrow"/>
              </w:rPr>
            </w:pPr>
          </w:p>
          <w:p w:rsidR="006667A2" w:rsidRPr="00AB7A96" w:rsidRDefault="006667A2" w:rsidP="00397FEE">
            <w:pPr>
              <w:spacing w:before="0" w:line="240" w:lineRule="auto"/>
              <w:jc w:val="center"/>
              <w:rPr>
                <w:rFonts w:asciiTheme="minorHAnsi" w:hAnsiTheme="minorHAnsi" w:cs="ArialNarrow"/>
              </w:rPr>
            </w:pPr>
            <w:r w:rsidRPr="00AB7A96">
              <w:rPr>
                <w:sz w:val="20"/>
              </w:rPr>
              <w:t>EPC</w:t>
            </w:r>
          </w:p>
        </w:tc>
        <w:tc>
          <w:tcPr>
            <w:tcW w:w="2280" w:type="pct"/>
            <w:shd w:val="clear" w:color="auto" w:fill="auto"/>
          </w:tcPr>
          <w:p w:rsidR="006667A2" w:rsidRPr="00AB7A96" w:rsidRDefault="006667A2" w:rsidP="006667A2">
            <w:pPr>
              <w:spacing w:after="200" w:line="276" w:lineRule="auto"/>
              <w:rPr>
                <w:rFonts w:asciiTheme="minorHAnsi" w:eastAsiaTheme="minorHAnsi" w:hAnsiTheme="minorHAnsi" w:cs="Arial"/>
                <w:szCs w:val="22"/>
                <w:lang w:val="en-US"/>
              </w:rPr>
            </w:pPr>
            <w:r w:rsidRPr="00AB7A96">
              <w:rPr>
                <w:rFonts w:asciiTheme="minorHAnsi" w:eastAsiaTheme="minorHAnsi" w:hAnsiTheme="minorHAnsi" w:cs="Arial"/>
                <w:szCs w:val="22"/>
                <w:lang w:val="en-US"/>
              </w:rPr>
              <w:t xml:space="preserve">Gross new working positions in supported enterprises in full time equivalents (FTE). Essentially a 'before-after' indicator which captures the part of the employment increase </w:t>
            </w:r>
            <w:proofErr w:type="gramStart"/>
            <w:r w:rsidRPr="00AB7A96">
              <w:rPr>
                <w:rFonts w:asciiTheme="minorHAnsi" w:eastAsiaTheme="minorHAnsi" w:hAnsiTheme="minorHAnsi" w:cs="Arial"/>
                <w:szCs w:val="22"/>
                <w:lang w:val="en-US"/>
              </w:rPr>
              <w:t>that  is</w:t>
            </w:r>
            <w:proofErr w:type="gramEnd"/>
            <w:r w:rsidRPr="00AB7A96">
              <w:rPr>
                <w:rFonts w:asciiTheme="minorHAnsi" w:eastAsiaTheme="minorHAnsi" w:hAnsiTheme="minorHAnsi" w:cs="Arial"/>
                <w:szCs w:val="22"/>
                <w:lang w:val="en-US"/>
              </w:rPr>
              <w:t xml:space="preserve">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AB7A96">
              <w:rPr>
                <w:rFonts w:asciiTheme="minorHAnsi" w:eastAsiaTheme="minorHAnsi" w:hAnsiTheme="minorHAnsi" w:cs="Arial"/>
                <w:szCs w:val="22"/>
                <w:lang w:val="en-US"/>
              </w:rPr>
              <w:t>organisation</w:t>
            </w:r>
            <w:proofErr w:type="spellEnd"/>
            <w:r w:rsidRPr="00AB7A96">
              <w:rPr>
                <w:rFonts w:asciiTheme="minorHAnsi" w:eastAsiaTheme="minorHAnsi" w:hAnsiTheme="minorHAnsi" w:cs="Arial"/>
                <w:szCs w:val="22"/>
                <w:lang w:val="en-US"/>
              </w:rPr>
              <w:t xml:space="preserve">. The </w:t>
            </w:r>
            <w:r w:rsidRPr="00AB7A96">
              <w:rPr>
                <w:rFonts w:asciiTheme="minorHAnsi" w:hAnsiTheme="minorHAnsi" w:cs="Arial"/>
                <w:szCs w:val="22"/>
                <w:lang w:val="en-US"/>
              </w:rPr>
              <w:t xml:space="preserve">indicator should be used if the </w:t>
            </w:r>
            <w:r w:rsidRPr="00AB7A96">
              <w:rPr>
                <w:rFonts w:asciiTheme="minorHAnsi" w:eastAsiaTheme="minorHAnsi" w:hAnsiTheme="minorHAnsi" w:cs="Arial"/>
                <w:szCs w:val="22"/>
                <w:lang w:val="en-US"/>
              </w:rPr>
              <w:t xml:space="preserve">employment increase can plausibly be attributed to the support. Full-time equivalent: Jobs can be full time, </w:t>
            </w:r>
            <w:proofErr w:type="spellStart"/>
            <w:r w:rsidRPr="00AB7A96">
              <w:rPr>
                <w:rFonts w:asciiTheme="minorHAnsi" w:eastAsiaTheme="minorHAnsi" w:hAnsiTheme="minorHAnsi" w:cs="Arial"/>
                <w:szCs w:val="22"/>
                <w:lang w:val="en-US"/>
              </w:rPr>
              <w:t>parttime</w:t>
            </w:r>
            <w:proofErr w:type="spellEnd"/>
            <w:r w:rsidRPr="00AB7A96">
              <w:rPr>
                <w:rFonts w:asciiTheme="minorHAnsi" w:eastAsiaTheme="minorHAnsi" w:hAnsiTheme="minorHAnsi" w:cs="Arial"/>
                <w:szCs w:val="22"/>
                <w:lang w:val="en-US"/>
              </w:rPr>
              <w:t xml:space="preserve"> or seasonal. Seasonal and part time jobs are to be converted to FTE using ILO/statistical/other </w:t>
            </w:r>
            <w:r w:rsidRPr="00AB7A96">
              <w:rPr>
                <w:rFonts w:asciiTheme="minorHAnsi" w:eastAsiaTheme="minorHAnsi" w:hAnsiTheme="minorHAnsi" w:cs="Arial"/>
                <w:szCs w:val="22"/>
                <w:lang w:val="en-US"/>
              </w:rPr>
              <w:lastRenderedPageBreak/>
              <w:t xml:space="preserve">standards. </w:t>
            </w:r>
          </w:p>
          <w:p w:rsidR="006667A2" w:rsidRPr="00AB7A96" w:rsidRDefault="006667A2" w:rsidP="006667A2">
            <w:pPr>
              <w:spacing w:after="200" w:line="276" w:lineRule="auto"/>
              <w:rPr>
                <w:rFonts w:asciiTheme="minorHAnsi" w:eastAsiaTheme="minorHAnsi" w:hAnsiTheme="minorHAnsi" w:cs="Arial"/>
                <w:szCs w:val="22"/>
                <w:lang w:val="en-US"/>
              </w:rPr>
            </w:pPr>
          </w:p>
          <w:p w:rsidR="006667A2" w:rsidRPr="00AB7A96" w:rsidRDefault="006667A2" w:rsidP="006667A2">
            <w:pPr>
              <w:spacing w:after="200" w:line="276" w:lineRule="auto"/>
              <w:rPr>
                <w:rFonts w:asciiTheme="minorHAnsi" w:hAnsiTheme="minorHAnsi" w:cs="Arial"/>
                <w:b/>
                <w:iCs/>
                <w:szCs w:val="22"/>
              </w:rPr>
            </w:pPr>
            <w:r w:rsidRPr="00AB7A96">
              <w:rPr>
                <w:rFonts w:asciiTheme="minorHAnsi" w:hAnsiTheme="minorHAnsi" w:cs="Arial"/>
                <w:b/>
                <w:iCs/>
                <w:szCs w:val="22"/>
              </w:rPr>
              <w:t>Wersja robocza:</w:t>
            </w:r>
          </w:p>
          <w:p w:rsidR="006667A2" w:rsidRPr="00AB7A96" w:rsidRDefault="006667A2" w:rsidP="006667A2">
            <w:pPr>
              <w:spacing w:after="200" w:line="276" w:lineRule="auto"/>
              <w:rPr>
                <w:rFonts w:asciiTheme="minorHAnsi" w:eastAsiaTheme="minorHAnsi" w:hAnsiTheme="minorHAnsi" w:cs="Arial"/>
                <w:szCs w:val="22"/>
              </w:rPr>
            </w:pPr>
            <w:r w:rsidRPr="00AB7A96">
              <w:rPr>
                <w:rFonts w:asciiTheme="minorHAnsi" w:eastAsiaTheme="minorHAnsi" w:hAnsiTheme="minorHAnsi" w:cs="Arial"/>
                <w:szCs w:val="22"/>
              </w:rPr>
              <w:t>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rsidR="006667A2" w:rsidRPr="00AB7A96" w:rsidRDefault="006667A2" w:rsidP="006667A2">
            <w:pPr>
              <w:spacing w:after="200" w:line="276" w:lineRule="auto"/>
              <w:rPr>
                <w:rFonts w:asciiTheme="minorHAnsi" w:eastAsiaTheme="minorHAnsi" w:hAnsiTheme="minorHAnsi" w:cs="Arial"/>
                <w:szCs w:val="22"/>
              </w:rPr>
            </w:pPr>
          </w:p>
          <w:p w:rsidR="006667A2" w:rsidRPr="00AB7A96" w:rsidRDefault="006667A2" w:rsidP="006667A2">
            <w:pPr>
              <w:spacing w:before="0" w:line="240" w:lineRule="auto"/>
              <w:rPr>
                <w:rFonts w:asciiTheme="minorHAnsi" w:hAnsiTheme="minorHAnsi"/>
                <w:szCs w:val="22"/>
                <w:u w:val="single"/>
              </w:rPr>
            </w:pPr>
            <w:r w:rsidRPr="00AB7A96">
              <w:rPr>
                <w:rFonts w:asciiTheme="minorHAnsi" w:eastAsiaTheme="minorHAnsi" w:hAnsiTheme="minorHAnsi" w:cs="Arial"/>
                <w:i/>
                <w:szCs w:val="22"/>
              </w:rPr>
              <w:lastRenderedPageBreak/>
              <w:t>Wskaźnik liczy etaty utworzone w przedsiębiorstwach w wyniku realizacji projektu; dotyczy zatrudnionych na podstawie umowy o pracę (nie dotyczy umów cywilnoprawnych).</w:t>
            </w:r>
          </w:p>
        </w:tc>
        <w:tc>
          <w:tcPr>
            <w:tcW w:w="863" w:type="pct"/>
          </w:tcPr>
          <w:p w:rsidR="006667A2" w:rsidRPr="00AB7A96" w:rsidRDefault="006667A2" w:rsidP="006667A2">
            <w:pPr>
              <w:spacing w:before="0" w:line="240" w:lineRule="auto"/>
              <w:jc w:val="center"/>
              <w:rPr>
                <w:rFonts w:asciiTheme="minorHAnsi" w:hAnsiTheme="minorHAnsi"/>
                <w:szCs w:val="22"/>
              </w:rPr>
            </w:pPr>
          </w:p>
          <w:p w:rsidR="006667A2" w:rsidRPr="00AB7A96" w:rsidRDefault="006667A2" w:rsidP="006667A2">
            <w:pPr>
              <w:spacing w:before="0" w:line="240" w:lineRule="auto"/>
              <w:jc w:val="center"/>
              <w:rPr>
                <w:rFonts w:asciiTheme="minorHAnsi" w:hAnsiTheme="minorHAnsi"/>
                <w:szCs w:val="22"/>
              </w:rPr>
            </w:pPr>
            <w:r w:rsidRPr="00AB7A96">
              <w:rPr>
                <w:rFonts w:asciiTheme="minorHAnsi" w:hAnsiTheme="minorHAnsi"/>
                <w:szCs w:val="22"/>
              </w:rPr>
              <w:t>RPO WD</w:t>
            </w:r>
          </w:p>
          <w:p w:rsidR="006667A2" w:rsidRPr="00AB7A96" w:rsidRDefault="006667A2" w:rsidP="006667A2">
            <w:pPr>
              <w:spacing w:before="0" w:line="240" w:lineRule="auto"/>
              <w:jc w:val="center"/>
              <w:rPr>
                <w:rFonts w:asciiTheme="minorHAnsi" w:hAnsiTheme="minorHAnsi"/>
                <w:szCs w:val="22"/>
              </w:rPr>
            </w:pPr>
            <w:r w:rsidRPr="00AB7A96">
              <w:rPr>
                <w:rFonts w:asciiTheme="minorHAnsi" w:hAnsiTheme="minorHAnsi"/>
                <w:szCs w:val="22"/>
              </w:rPr>
              <w:t>2014-2020</w:t>
            </w:r>
          </w:p>
        </w:tc>
      </w:tr>
      <w:tr w:rsidR="006667A2" w:rsidRPr="00AB7A96" w:rsidTr="00181293">
        <w:trPr>
          <w:trHeight w:val="1121"/>
          <w:jc w:val="center"/>
        </w:trPr>
        <w:tc>
          <w:tcPr>
            <w:tcW w:w="1159" w:type="pct"/>
            <w:shd w:val="clear" w:color="auto" w:fill="auto"/>
          </w:tcPr>
          <w:p w:rsidR="006667A2" w:rsidRPr="00AB7A96" w:rsidRDefault="006667A2" w:rsidP="006667A2">
            <w:pPr>
              <w:spacing w:before="60" w:after="60" w:line="240" w:lineRule="auto"/>
              <w:rPr>
                <w:sz w:val="20"/>
              </w:rPr>
            </w:pPr>
            <w:r w:rsidRPr="00AB7A96">
              <w:rPr>
                <w:sz w:val="20"/>
              </w:rPr>
              <w:lastRenderedPageBreak/>
              <w:t>Wzrost zatrudnienia we wspieranych podmiotach (innych niż przedsiębiorstwa) O/K/M</w:t>
            </w:r>
          </w:p>
        </w:tc>
        <w:tc>
          <w:tcPr>
            <w:tcW w:w="698" w:type="pct"/>
          </w:tcPr>
          <w:p w:rsidR="006667A2" w:rsidRPr="00AB7A96" w:rsidRDefault="006667A2" w:rsidP="00397FEE">
            <w:pPr>
              <w:spacing w:before="0" w:line="240" w:lineRule="auto"/>
              <w:jc w:val="center"/>
              <w:rPr>
                <w:rFonts w:asciiTheme="minorHAnsi" w:hAnsiTheme="minorHAnsi" w:cs="ArialNarrow"/>
              </w:rPr>
            </w:pPr>
          </w:p>
          <w:p w:rsidR="006667A2" w:rsidRPr="00AB7A96" w:rsidRDefault="006667A2" w:rsidP="00397FEE">
            <w:pPr>
              <w:spacing w:before="0" w:line="240" w:lineRule="auto"/>
              <w:jc w:val="center"/>
              <w:rPr>
                <w:rFonts w:asciiTheme="minorHAnsi" w:hAnsiTheme="minorHAnsi" w:cs="ArialNarrow"/>
              </w:rPr>
            </w:pPr>
          </w:p>
          <w:p w:rsidR="006667A2" w:rsidRPr="00AB7A96" w:rsidRDefault="006667A2" w:rsidP="00397FEE">
            <w:pPr>
              <w:spacing w:before="0" w:line="240" w:lineRule="auto"/>
              <w:jc w:val="center"/>
              <w:rPr>
                <w:rFonts w:asciiTheme="minorHAnsi" w:hAnsiTheme="minorHAnsi" w:cs="ArialNarrow"/>
              </w:rPr>
            </w:pPr>
            <w:r w:rsidRPr="00AB7A96">
              <w:rPr>
                <w:sz w:val="20"/>
              </w:rPr>
              <w:t>EPC</w:t>
            </w:r>
          </w:p>
        </w:tc>
        <w:tc>
          <w:tcPr>
            <w:tcW w:w="2280" w:type="pct"/>
            <w:shd w:val="clear" w:color="auto" w:fill="auto"/>
          </w:tcPr>
          <w:p w:rsidR="00C84C44" w:rsidRPr="00AB7A96" w:rsidRDefault="00C84C44" w:rsidP="00C84C44">
            <w:pPr>
              <w:pStyle w:val="Default"/>
              <w:jc w:val="both"/>
              <w:rPr>
                <w:rFonts w:asciiTheme="minorHAnsi" w:eastAsiaTheme="minorHAnsi" w:hAnsiTheme="minorHAnsi" w:cs="Verdana"/>
                <w:sz w:val="22"/>
                <w:szCs w:val="22"/>
                <w:lang w:val="en-US" w:eastAsia="en-US"/>
              </w:rPr>
            </w:pPr>
            <w:r w:rsidRPr="00AB7A96">
              <w:rPr>
                <w:rFonts w:asciiTheme="minorHAnsi" w:eastAsiaTheme="minorHAnsi" w:hAnsiTheme="minorHAnsi" w:cs="Verdana"/>
                <w:sz w:val="22"/>
                <w:szCs w:val="22"/>
                <w:lang w:val="en-US" w:eastAsia="en-US"/>
              </w:rPr>
              <w:t xml:space="preserve">Gross new working positions in supported enterprises in full time equivalents (FTE). Essentially a 'before-after' indicator which captures the part of the employment increase </w:t>
            </w:r>
            <w:proofErr w:type="gramStart"/>
            <w:r w:rsidRPr="00AB7A96">
              <w:rPr>
                <w:rFonts w:asciiTheme="minorHAnsi" w:eastAsiaTheme="minorHAnsi" w:hAnsiTheme="minorHAnsi" w:cs="Verdana"/>
                <w:sz w:val="22"/>
                <w:szCs w:val="22"/>
                <w:lang w:val="en-US" w:eastAsia="en-US"/>
              </w:rPr>
              <w:t>that  is</w:t>
            </w:r>
            <w:proofErr w:type="gramEnd"/>
            <w:r w:rsidRPr="00AB7A96">
              <w:rPr>
                <w:rFonts w:asciiTheme="minorHAnsi" w:eastAsiaTheme="minorHAnsi" w:hAnsiTheme="minorHAnsi" w:cs="Verdana"/>
                <w:sz w:val="22"/>
                <w:szCs w:val="22"/>
                <w:lang w:val="en-US" w:eastAsia="en-US"/>
              </w:rPr>
              <w:t xml:space="preserve">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AB7A96">
              <w:rPr>
                <w:rFonts w:asciiTheme="minorHAnsi" w:eastAsiaTheme="minorHAnsi" w:hAnsiTheme="minorHAnsi" w:cs="Verdana"/>
                <w:sz w:val="22"/>
                <w:szCs w:val="22"/>
                <w:lang w:val="en-US" w:eastAsia="en-US"/>
              </w:rPr>
              <w:t>organisation</w:t>
            </w:r>
            <w:proofErr w:type="spellEnd"/>
            <w:r w:rsidRPr="00AB7A96">
              <w:rPr>
                <w:rFonts w:asciiTheme="minorHAnsi" w:eastAsiaTheme="minorHAnsi" w:hAnsiTheme="minorHAnsi" w:cs="Verdana"/>
                <w:sz w:val="22"/>
                <w:szCs w:val="22"/>
                <w:lang w:val="en-US" w:eastAsia="en-US"/>
              </w:rPr>
              <w:t xml:space="preserve">. The indicator should be used if the employment increase can plausibly be attributed to the support. Full-time equivalent: Jobs can be full time, </w:t>
            </w:r>
            <w:proofErr w:type="spellStart"/>
            <w:r w:rsidRPr="00AB7A96">
              <w:rPr>
                <w:rFonts w:asciiTheme="minorHAnsi" w:eastAsiaTheme="minorHAnsi" w:hAnsiTheme="minorHAnsi" w:cs="Verdana"/>
                <w:sz w:val="22"/>
                <w:szCs w:val="22"/>
                <w:lang w:val="en-US" w:eastAsia="en-US"/>
              </w:rPr>
              <w:t>parttime</w:t>
            </w:r>
            <w:proofErr w:type="spellEnd"/>
            <w:r w:rsidRPr="00AB7A96">
              <w:rPr>
                <w:rFonts w:asciiTheme="minorHAnsi" w:eastAsiaTheme="minorHAnsi" w:hAnsiTheme="minorHAnsi" w:cs="Verdana"/>
                <w:sz w:val="22"/>
                <w:szCs w:val="22"/>
                <w:lang w:val="en-US" w:eastAsia="en-US"/>
              </w:rPr>
              <w:t xml:space="preserve"> or seasonal. Seasonal and part time jobs are to be converted to FTE using ILO/statistical/other standards. </w:t>
            </w:r>
          </w:p>
          <w:p w:rsidR="00C84C44" w:rsidRPr="00AB7A96" w:rsidRDefault="00C84C44" w:rsidP="00C84C44">
            <w:pPr>
              <w:pStyle w:val="Default"/>
              <w:jc w:val="both"/>
              <w:rPr>
                <w:rFonts w:asciiTheme="minorHAnsi" w:eastAsiaTheme="minorHAnsi" w:hAnsiTheme="minorHAnsi" w:cs="Verdana"/>
                <w:sz w:val="22"/>
                <w:szCs w:val="22"/>
                <w:lang w:val="en-US" w:eastAsia="en-US"/>
              </w:rPr>
            </w:pPr>
          </w:p>
          <w:p w:rsidR="00C84C44" w:rsidRPr="00AB7A96" w:rsidRDefault="00C84C44" w:rsidP="00C84C44">
            <w:pPr>
              <w:pStyle w:val="Default"/>
              <w:jc w:val="both"/>
              <w:rPr>
                <w:rFonts w:asciiTheme="minorHAnsi" w:hAnsiTheme="minorHAnsi"/>
                <w:b/>
                <w:iCs/>
                <w:sz w:val="22"/>
                <w:szCs w:val="22"/>
              </w:rPr>
            </w:pPr>
            <w:r w:rsidRPr="00AB7A96">
              <w:rPr>
                <w:rFonts w:asciiTheme="minorHAnsi" w:hAnsiTheme="minorHAnsi"/>
                <w:b/>
                <w:iCs/>
                <w:sz w:val="22"/>
                <w:szCs w:val="22"/>
              </w:rPr>
              <w:t>Wersja robocza:</w:t>
            </w:r>
          </w:p>
          <w:p w:rsidR="00C84C44" w:rsidRPr="00AB7A96" w:rsidRDefault="00C84C44" w:rsidP="00C84C44">
            <w:pPr>
              <w:autoSpaceDE w:val="0"/>
              <w:autoSpaceDN w:val="0"/>
              <w:adjustRightInd w:val="0"/>
              <w:spacing w:before="0" w:line="240" w:lineRule="auto"/>
              <w:jc w:val="both"/>
              <w:rPr>
                <w:rFonts w:asciiTheme="minorHAnsi" w:eastAsiaTheme="minorHAnsi" w:hAnsiTheme="minorHAnsi" w:cs="Verdana"/>
                <w:szCs w:val="22"/>
                <w:lang w:eastAsia="en-US"/>
              </w:rPr>
            </w:pPr>
            <w:r w:rsidRPr="00AB7A96">
              <w:rPr>
                <w:rFonts w:asciiTheme="minorHAnsi" w:eastAsiaTheme="minorHAnsi" w:hAnsiTheme="minorHAnsi" w:cs="Verdana"/>
                <w:szCs w:val="22"/>
                <w:lang w:eastAsia="en-US"/>
              </w:rPr>
              <w:t xml:space="preserve">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w:t>
            </w:r>
            <w:r w:rsidRPr="00AB7A96">
              <w:rPr>
                <w:rFonts w:asciiTheme="minorHAnsi" w:eastAsiaTheme="minorHAnsi" w:hAnsiTheme="minorHAnsi" w:cs="Verdana"/>
                <w:szCs w:val="22"/>
                <w:lang w:eastAsia="en-US"/>
              </w:rPr>
              <w:lastRenderedPageBreak/>
              <w:t>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rsidR="00C84C44" w:rsidRPr="00AB7A96" w:rsidRDefault="00C84C44" w:rsidP="00C84C44">
            <w:pPr>
              <w:autoSpaceDE w:val="0"/>
              <w:autoSpaceDN w:val="0"/>
              <w:adjustRightInd w:val="0"/>
              <w:spacing w:before="0" w:line="240" w:lineRule="auto"/>
              <w:jc w:val="both"/>
              <w:rPr>
                <w:rFonts w:asciiTheme="minorHAnsi" w:eastAsiaTheme="minorHAnsi" w:hAnsiTheme="minorHAnsi" w:cs="Verdana"/>
                <w:szCs w:val="22"/>
                <w:lang w:eastAsia="en-US"/>
              </w:rPr>
            </w:pPr>
          </w:p>
          <w:p w:rsidR="006667A2" w:rsidRPr="00AB7A96" w:rsidRDefault="00C84C44" w:rsidP="00C84C44">
            <w:pPr>
              <w:spacing w:before="0" w:line="240" w:lineRule="auto"/>
              <w:rPr>
                <w:rFonts w:asciiTheme="minorHAnsi" w:hAnsiTheme="minorHAnsi"/>
                <w:szCs w:val="22"/>
                <w:u w:val="single"/>
              </w:rPr>
            </w:pPr>
            <w:r w:rsidRPr="00AB7A96">
              <w:rPr>
                <w:rFonts w:asciiTheme="minorHAnsi" w:eastAsiaTheme="minorHAnsi" w:hAnsiTheme="minorHAnsi" w:cs="Verdana"/>
                <w:i/>
                <w:szCs w:val="22"/>
                <w:lang w:eastAsia="en-US"/>
              </w:rPr>
              <w:t>Wskaźnik liczy etaty utworzone w przedsiębiorstwach w wyniku realizacji projektu; dotyczy zatrudnionych na podstawie umowy o pracę (nie dotyczy umów cywilnoprawnych).</w:t>
            </w:r>
          </w:p>
        </w:tc>
        <w:tc>
          <w:tcPr>
            <w:tcW w:w="863" w:type="pct"/>
          </w:tcPr>
          <w:p w:rsidR="006667A2" w:rsidRPr="00AB7A96" w:rsidRDefault="006667A2" w:rsidP="006667A2">
            <w:pPr>
              <w:spacing w:before="0" w:line="240" w:lineRule="auto"/>
              <w:jc w:val="center"/>
              <w:rPr>
                <w:rFonts w:asciiTheme="minorHAnsi" w:hAnsiTheme="minorHAnsi"/>
                <w:szCs w:val="22"/>
              </w:rPr>
            </w:pPr>
            <w:r w:rsidRPr="00AB7A96">
              <w:rPr>
                <w:rFonts w:cs="Arial"/>
                <w:sz w:val="20"/>
              </w:rPr>
              <w:lastRenderedPageBreak/>
              <w:t>horyzontalny</w:t>
            </w:r>
          </w:p>
        </w:tc>
      </w:tr>
      <w:tr w:rsidR="006667A2" w:rsidRPr="00AB7A96" w:rsidTr="00181293">
        <w:trPr>
          <w:trHeight w:val="1121"/>
          <w:jc w:val="center"/>
        </w:trPr>
        <w:tc>
          <w:tcPr>
            <w:tcW w:w="1159" w:type="pct"/>
            <w:shd w:val="clear" w:color="auto" w:fill="auto"/>
          </w:tcPr>
          <w:p w:rsidR="006667A2" w:rsidRPr="00AB7A96" w:rsidRDefault="006667A2" w:rsidP="006667A2">
            <w:pPr>
              <w:spacing w:before="60" w:after="60" w:line="240" w:lineRule="auto"/>
              <w:rPr>
                <w:sz w:val="20"/>
              </w:rPr>
            </w:pPr>
            <w:r w:rsidRPr="00AB7A96">
              <w:rPr>
                <w:sz w:val="20"/>
              </w:rPr>
              <w:lastRenderedPageBreak/>
              <w:t>Liczba utrzymanych miejsc pracy O/K/M (wskaźnik ma charakter informacyjny)</w:t>
            </w:r>
          </w:p>
        </w:tc>
        <w:tc>
          <w:tcPr>
            <w:tcW w:w="698" w:type="pct"/>
          </w:tcPr>
          <w:p w:rsidR="006667A2" w:rsidRPr="00AB7A96" w:rsidRDefault="006667A2" w:rsidP="00397FEE">
            <w:pPr>
              <w:spacing w:before="0" w:line="240" w:lineRule="auto"/>
              <w:jc w:val="center"/>
              <w:rPr>
                <w:rFonts w:asciiTheme="minorHAnsi" w:hAnsiTheme="minorHAnsi" w:cs="ArialNarrow"/>
              </w:rPr>
            </w:pPr>
          </w:p>
          <w:p w:rsidR="006667A2" w:rsidRPr="00AB7A96" w:rsidRDefault="006667A2" w:rsidP="00397FEE">
            <w:pPr>
              <w:spacing w:before="0" w:line="240" w:lineRule="auto"/>
              <w:jc w:val="center"/>
              <w:rPr>
                <w:rFonts w:asciiTheme="minorHAnsi" w:hAnsiTheme="minorHAnsi" w:cs="ArialNarrow"/>
              </w:rPr>
            </w:pPr>
          </w:p>
          <w:p w:rsidR="006667A2" w:rsidRPr="00AB7A96" w:rsidRDefault="006667A2" w:rsidP="00397FEE">
            <w:pPr>
              <w:spacing w:before="0" w:line="240" w:lineRule="auto"/>
              <w:jc w:val="center"/>
              <w:rPr>
                <w:rFonts w:asciiTheme="minorHAnsi" w:hAnsiTheme="minorHAnsi" w:cs="ArialNarrow"/>
              </w:rPr>
            </w:pPr>
            <w:r w:rsidRPr="00AB7A96">
              <w:rPr>
                <w:sz w:val="20"/>
              </w:rPr>
              <w:t>EPC</w:t>
            </w:r>
          </w:p>
        </w:tc>
        <w:tc>
          <w:tcPr>
            <w:tcW w:w="2280" w:type="pct"/>
            <w:shd w:val="clear" w:color="auto" w:fill="auto"/>
          </w:tcPr>
          <w:p w:rsidR="006667A2" w:rsidRPr="00AB7A96" w:rsidRDefault="006667A2" w:rsidP="00397FEE">
            <w:pPr>
              <w:spacing w:before="0" w:line="240" w:lineRule="auto"/>
              <w:rPr>
                <w:rFonts w:asciiTheme="minorHAnsi" w:hAnsiTheme="minorHAnsi"/>
                <w:szCs w:val="22"/>
                <w:u w:val="single"/>
              </w:rPr>
            </w:pPr>
            <w:r w:rsidRPr="00AB7A96">
              <w:rPr>
                <w:rFonts w:asciiTheme="minorHAnsi" w:eastAsiaTheme="minorHAnsi" w:hAnsiTheme="minorHAnsi"/>
                <w:szCs w:val="22"/>
              </w:rPr>
              <w:t>Miejsca pracy utworzone w wyniku realizacji projektu, lecz nie powodują wzrostu zatrudnienia w organizacji</w:t>
            </w:r>
          </w:p>
        </w:tc>
        <w:tc>
          <w:tcPr>
            <w:tcW w:w="863" w:type="pct"/>
          </w:tcPr>
          <w:p w:rsidR="006667A2" w:rsidRPr="00AB7A96" w:rsidRDefault="006667A2" w:rsidP="006667A2">
            <w:pPr>
              <w:spacing w:before="0" w:line="240" w:lineRule="auto"/>
              <w:jc w:val="center"/>
              <w:rPr>
                <w:rFonts w:cs="Arial"/>
                <w:sz w:val="20"/>
              </w:rPr>
            </w:pPr>
            <w:r w:rsidRPr="00AB7A96">
              <w:rPr>
                <w:rFonts w:cs="Arial"/>
                <w:sz w:val="20"/>
              </w:rPr>
              <w:t>horyzontalny</w:t>
            </w:r>
          </w:p>
        </w:tc>
      </w:tr>
      <w:tr w:rsidR="006667A2" w:rsidRPr="00AB7A96" w:rsidTr="00181293">
        <w:trPr>
          <w:trHeight w:val="1121"/>
          <w:jc w:val="center"/>
        </w:trPr>
        <w:tc>
          <w:tcPr>
            <w:tcW w:w="1159" w:type="pct"/>
            <w:shd w:val="clear" w:color="auto" w:fill="auto"/>
          </w:tcPr>
          <w:p w:rsidR="006667A2" w:rsidRPr="00AB7A96" w:rsidRDefault="006667A2" w:rsidP="006667A2">
            <w:pPr>
              <w:spacing w:before="60" w:after="60" w:line="240" w:lineRule="auto"/>
              <w:rPr>
                <w:sz w:val="20"/>
              </w:rPr>
            </w:pPr>
            <w:r w:rsidRPr="00AB7A96">
              <w:rPr>
                <w:sz w:val="20"/>
              </w:rPr>
              <w:t>Liczba nowo utworzonych miejsc pracy – pozostałe formy (wskaźnik ma charakter informacyjny)</w:t>
            </w:r>
          </w:p>
        </w:tc>
        <w:tc>
          <w:tcPr>
            <w:tcW w:w="698" w:type="pct"/>
          </w:tcPr>
          <w:p w:rsidR="006667A2" w:rsidRPr="00AB7A96" w:rsidRDefault="006667A2" w:rsidP="00397FEE">
            <w:pPr>
              <w:spacing w:before="0" w:line="240" w:lineRule="auto"/>
              <w:jc w:val="center"/>
              <w:rPr>
                <w:rFonts w:asciiTheme="minorHAnsi" w:hAnsiTheme="minorHAnsi" w:cs="ArialNarrow"/>
              </w:rPr>
            </w:pPr>
          </w:p>
          <w:p w:rsidR="006667A2" w:rsidRPr="00AB7A96" w:rsidRDefault="006667A2" w:rsidP="00397FEE">
            <w:pPr>
              <w:spacing w:before="0" w:line="240" w:lineRule="auto"/>
              <w:jc w:val="center"/>
              <w:rPr>
                <w:rFonts w:asciiTheme="minorHAnsi" w:hAnsiTheme="minorHAnsi" w:cs="ArialNarrow"/>
              </w:rPr>
            </w:pPr>
          </w:p>
          <w:p w:rsidR="006667A2" w:rsidRPr="00AB7A96" w:rsidRDefault="006667A2" w:rsidP="00397FEE">
            <w:pPr>
              <w:spacing w:before="0" w:line="240" w:lineRule="auto"/>
              <w:jc w:val="center"/>
              <w:rPr>
                <w:rFonts w:asciiTheme="minorHAnsi" w:hAnsiTheme="minorHAnsi" w:cs="ArialNarrow"/>
              </w:rPr>
            </w:pPr>
            <w:r w:rsidRPr="00AB7A96">
              <w:rPr>
                <w:sz w:val="20"/>
              </w:rPr>
              <w:t>EPC</w:t>
            </w:r>
          </w:p>
        </w:tc>
        <w:tc>
          <w:tcPr>
            <w:tcW w:w="2280" w:type="pct"/>
            <w:shd w:val="clear" w:color="auto" w:fill="auto"/>
          </w:tcPr>
          <w:p w:rsidR="006667A2" w:rsidRPr="00AB7A96" w:rsidRDefault="006667A2" w:rsidP="00397FEE">
            <w:pPr>
              <w:spacing w:before="0" w:line="240" w:lineRule="auto"/>
              <w:rPr>
                <w:rFonts w:asciiTheme="minorHAnsi" w:hAnsiTheme="minorHAnsi"/>
                <w:szCs w:val="22"/>
                <w:u w:val="single"/>
              </w:rPr>
            </w:pPr>
            <w:r w:rsidRPr="00AB7A96">
              <w:rPr>
                <w:rFonts w:asciiTheme="minorHAnsi" w:eastAsiaTheme="minorHAnsi" w:hAnsiTheme="minorHAnsi"/>
                <w:iCs/>
                <w:szCs w:val="22"/>
              </w:rPr>
              <w:t>Pozostałe formy</w:t>
            </w:r>
            <w:r w:rsidRPr="00AB7A96">
              <w:rPr>
                <w:rFonts w:asciiTheme="minorHAnsi" w:eastAsiaTheme="minorHAnsi" w:hAnsiTheme="minorHAnsi"/>
                <w:szCs w:val="22"/>
              </w:rPr>
              <w:t>, np. umowy cywilnoprawne, miejsca pracy do obsługi projektu, nietrwałe miejsca pracy</w:t>
            </w:r>
          </w:p>
        </w:tc>
        <w:tc>
          <w:tcPr>
            <w:tcW w:w="863" w:type="pct"/>
          </w:tcPr>
          <w:p w:rsidR="006667A2" w:rsidRPr="00AB7A96" w:rsidRDefault="006667A2" w:rsidP="006667A2">
            <w:pPr>
              <w:spacing w:before="0" w:line="240" w:lineRule="auto"/>
              <w:jc w:val="center"/>
              <w:rPr>
                <w:rFonts w:cs="Arial"/>
                <w:sz w:val="20"/>
              </w:rPr>
            </w:pPr>
            <w:r w:rsidRPr="00AB7A96">
              <w:rPr>
                <w:rFonts w:cs="Arial"/>
                <w:sz w:val="20"/>
              </w:rPr>
              <w:t>horyzontalny</w:t>
            </w:r>
          </w:p>
        </w:tc>
      </w:tr>
    </w:tbl>
    <w:p w:rsidR="006033E8" w:rsidRPr="00AB7A96" w:rsidRDefault="006033E8" w:rsidP="006033E8">
      <w:pPr>
        <w:spacing w:before="0" w:after="200" w:line="276" w:lineRule="auto"/>
        <w:rPr>
          <w:rFonts w:asciiTheme="minorHAnsi" w:hAnsiTheme="minorHAnsi"/>
          <w:szCs w:val="22"/>
        </w:rPr>
      </w:pPr>
    </w:p>
    <w:p w:rsidR="001A7A07" w:rsidRPr="00AB7A96" w:rsidRDefault="00944996" w:rsidP="00944996">
      <w:pPr>
        <w:autoSpaceDE w:val="0"/>
        <w:autoSpaceDN w:val="0"/>
        <w:adjustRightInd w:val="0"/>
        <w:spacing w:before="120" w:after="120" w:line="240" w:lineRule="auto"/>
        <w:jc w:val="both"/>
        <w:rPr>
          <w:rFonts w:asciiTheme="minorHAnsi" w:eastAsiaTheme="minorHAnsi" w:hAnsiTheme="minorHAnsi" w:cs="Arial"/>
          <w:szCs w:val="22"/>
          <w:lang w:eastAsia="en-US"/>
        </w:rPr>
      </w:pPr>
      <w:r w:rsidRPr="00AB7A96">
        <w:rPr>
          <w:rFonts w:asciiTheme="minorHAnsi" w:eastAsiaTheme="minorHAnsi" w:hAnsiTheme="minorHAnsi" w:cs="Arial"/>
          <w:szCs w:val="22"/>
          <w:lang w:eastAsia="en-US"/>
        </w:rPr>
        <w:t xml:space="preserve">W ramach wniosku o dofinansowanie Wnioskodawca ma obowiązek uwzględnić </w:t>
      </w:r>
      <w:r w:rsidRPr="00AB7A96">
        <w:rPr>
          <w:rFonts w:asciiTheme="minorHAnsi" w:eastAsiaTheme="minorHAnsi" w:hAnsiTheme="minorHAnsi" w:cs="Arial"/>
          <w:b/>
          <w:szCs w:val="22"/>
          <w:lang w:eastAsia="en-US"/>
        </w:rPr>
        <w:t>wszystkie adekwatne</w:t>
      </w:r>
      <w:r w:rsidRPr="00AB7A96">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p>
    <w:p w:rsidR="001A7A07" w:rsidRPr="00AB7A96" w:rsidRDefault="00944996" w:rsidP="00944996">
      <w:pPr>
        <w:autoSpaceDE w:val="0"/>
        <w:autoSpaceDN w:val="0"/>
        <w:adjustRightInd w:val="0"/>
        <w:spacing w:before="120" w:after="120" w:line="240" w:lineRule="auto"/>
        <w:jc w:val="both"/>
        <w:rPr>
          <w:rFonts w:asciiTheme="minorHAnsi" w:eastAsiaTheme="minorHAnsi" w:hAnsiTheme="minorHAnsi" w:cs="Arial"/>
          <w:szCs w:val="22"/>
          <w:lang w:eastAsia="en-US"/>
        </w:rPr>
      </w:pPr>
      <w:r w:rsidRPr="00AB7A96">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944996" w:rsidRPr="00AB7A96" w:rsidRDefault="00944996" w:rsidP="00944996">
      <w:pPr>
        <w:pStyle w:val="Default"/>
        <w:jc w:val="both"/>
        <w:rPr>
          <w:rFonts w:asciiTheme="minorHAnsi" w:eastAsiaTheme="minorHAnsi" w:hAnsiTheme="minorHAnsi" w:cstheme="minorBidi"/>
          <w:sz w:val="22"/>
          <w:szCs w:val="22"/>
          <w:lang w:eastAsia="en-US"/>
        </w:rPr>
      </w:pPr>
      <w:r w:rsidRPr="00AB7A96">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t>
      </w:r>
      <w:r w:rsidRPr="00AB7A96">
        <w:rPr>
          <w:rFonts w:asciiTheme="minorHAnsi" w:eastAsiaTheme="minorHAnsi" w:hAnsiTheme="minorHAnsi" w:cstheme="minorBidi"/>
          <w:sz w:val="22"/>
          <w:szCs w:val="22"/>
          <w:lang w:eastAsia="en-US"/>
        </w:rPr>
        <w:lastRenderedPageBreak/>
        <w:t xml:space="preserve">wskaźnika oraz częstotliwości pomiaru. Dlatego przy określaniu wskaźników należy wziąć pod uwagę dostępność i wiarygodność danych niezbędnych do pomiaru danego wskaźnika. </w:t>
      </w:r>
    </w:p>
    <w:p w:rsidR="00944996" w:rsidRPr="00AB7A96" w:rsidRDefault="00944996" w:rsidP="00944996">
      <w:pPr>
        <w:spacing w:line="240" w:lineRule="auto"/>
        <w:jc w:val="both"/>
        <w:rPr>
          <w:rFonts w:asciiTheme="minorHAnsi" w:hAnsiTheme="minorHAnsi" w:cs="Arial"/>
          <w:b/>
          <w:szCs w:val="22"/>
          <w:u w:val="single"/>
        </w:rPr>
      </w:pPr>
      <w:r w:rsidRPr="00AB7A96">
        <w:rPr>
          <w:rFonts w:asciiTheme="minorHAnsi" w:hAnsiTheme="minorHAnsi" w:cs="Arial"/>
          <w:b/>
          <w:szCs w:val="22"/>
          <w:u w:val="single"/>
        </w:rPr>
        <w:t>Wartość bazowa (tzn. wartość w momencie rozpoczęcia realizacji projektu) w przypadku każdego wskaźnika powinna być wykazana na poziomie „0”.</w:t>
      </w:r>
    </w:p>
    <w:p w:rsidR="00944996" w:rsidRPr="00AB7A96" w:rsidRDefault="00445B0E" w:rsidP="00944996">
      <w:pPr>
        <w:spacing w:line="240" w:lineRule="auto"/>
        <w:jc w:val="both"/>
        <w:rPr>
          <w:rFonts w:asciiTheme="minorHAnsi" w:hAnsiTheme="minorHAnsi" w:cs="Arial"/>
          <w:b/>
          <w:szCs w:val="22"/>
          <w:u w:val="single"/>
        </w:rPr>
      </w:pPr>
      <w:r w:rsidRPr="00AB7A96">
        <w:rPr>
          <w:rFonts w:asciiTheme="minorHAnsi" w:hAnsiTheme="minorHAnsi" w:cs="Arial"/>
          <w:b/>
          <w:szCs w:val="22"/>
          <w:u w:val="single"/>
        </w:rPr>
        <w:t>E</w:t>
      </w:r>
      <w:r w:rsidR="00944996" w:rsidRPr="00AB7A96">
        <w:rPr>
          <w:rFonts w:asciiTheme="minorHAnsi" w:hAnsiTheme="minorHAnsi" w:cs="Arial"/>
          <w:b/>
          <w:szCs w:val="22"/>
          <w:u w:val="single"/>
        </w:rPr>
        <w:t xml:space="preserve">fekt wsparcia na poziomie projektu występuje: </w:t>
      </w:r>
    </w:p>
    <w:p w:rsidR="00944996" w:rsidRPr="00AB7A96" w:rsidRDefault="00944996" w:rsidP="00944996">
      <w:pPr>
        <w:spacing w:line="240" w:lineRule="auto"/>
        <w:jc w:val="both"/>
        <w:rPr>
          <w:rFonts w:asciiTheme="minorHAnsi" w:hAnsiTheme="minorHAnsi" w:cs="Arial"/>
          <w:b/>
          <w:szCs w:val="22"/>
          <w:u w:val="single"/>
        </w:rPr>
      </w:pPr>
      <w:r w:rsidRPr="00AB7A96">
        <w:rPr>
          <w:rFonts w:asciiTheme="minorHAnsi" w:hAnsiTheme="minorHAnsi" w:cs="Arial"/>
          <w:b/>
          <w:szCs w:val="22"/>
          <w:u w:val="single"/>
        </w:rPr>
        <w:t>a) w przypadku wskaźników produktu – w okresie od podpisania umowy o dofinansowanie, przy czym osiągnięte wartości powinny zostać wykazane najpóźniej we wniosku o płatność końcową</w:t>
      </w:r>
      <w:r w:rsidR="00445B0E" w:rsidRPr="00AB7A96">
        <w:rPr>
          <w:rFonts w:asciiTheme="minorHAnsi" w:hAnsiTheme="minorHAnsi" w:cs="Arial"/>
          <w:b/>
          <w:szCs w:val="22"/>
          <w:u w:val="single"/>
        </w:rPr>
        <w:t xml:space="preserve"> oraz utrzymanie w okresie trwałości projektu</w:t>
      </w:r>
      <w:r w:rsidRPr="00AB7A96">
        <w:rPr>
          <w:rFonts w:asciiTheme="minorHAnsi" w:hAnsiTheme="minorHAnsi" w:cs="Arial"/>
          <w:b/>
          <w:szCs w:val="22"/>
          <w:u w:val="single"/>
        </w:rPr>
        <w:t xml:space="preserve">, </w:t>
      </w:r>
    </w:p>
    <w:p w:rsidR="00944996" w:rsidRPr="00AB7A96" w:rsidRDefault="00944996" w:rsidP="00944996">
      <w:pPr>
        <w:spacing w:line="240" w:lineRule="auto"/>
        <w:jc w:val="both"/>
        <w:rPr>
          <w:rFonts w:asciiTheme="minorHAnsi" w:hAnsiTheme="minorHAnsi" w:cs="Arial"/>
          <w:b/>
          <w:szCs w:val="22"/>
          <w:u w:val="single"/>
        </w:rPr>
      </w:pPr>
      <w:r w:rsidRPr="00AB7A96">
        <w:rPr>
          <w:rFonts w:asciiTheme="minorHAnsi" w:hAnsiTheme="minorHAnsi" w:cs="Arial"/>
          <w:b/>
          <w:szCs w:val="22"/>
          <w:u w:val="single"/>
        </w:rPr>
        <w:t xml:space="preserve">b) w przypadku wskaźników rezultatu określonych na poziomie projektu: </w:t>
      </w:r>
    </w:p>
    <w:p w:rsidR="000B32E1" w:rsidRPr="00AB7A96" w:rsidRDefault="00944996" w:rsidP="007650AC">
      <w:pPr>
        <w:pStyle w:val="ListParagraph"/>
        <w:numPr>
          <w:ilvl w:val="0"/>
          <w:numId w:val="6"/>
        </w:numPr>
        <w:spacing w:before="0" w:after="200" w:line="240" w:lineRule="auto"/>
        <w:ind w:left="1080"/>
        <w:contextualSpacing/>
        <w:jc w:val="both"/>
        <w:rPr>
          <w:rFonts w:asciiTheme="minorHAnsi" w:hAnsiTheme="minorHAnsi" w:cs="Arial"/>
          <w:b/>
          <w:szCs w:val="22"/>
          <w:u w:val="single"/>
        </w:rPr>
      </w:pPr>
      <w:r w:rsidRPr="00AB7A96">
        <w:rPr>
          <w:rFonts w:asciiTheme="minorHAnsi" w:hAnsiTheme="minorHAnsi" w:cs="Arial"/>
          <w:b/>
          <w:szCs w:val="22"/>
          <w:u w:val="single"/>
        </w:rPr>
        <w:t xml:space="preserve">co do zasady – w okresie 12 miesięcy od zakończenia okresu realizacji projektu określonego w umowie o dofinansowaniu projektu lub, o ile wynika to ze specyfiki projektu, od uruchomienia przedsięwzięcia, przy czym osiągnięte wartości wykazywane są </w:t>
      </w:r>
      <w:r w:rsidR="00445B0E" w:rsidRPr="00AB7A96">
        <w:rPr>
          <w:rFonts w:asciiTheme="minorHAnsi" w:hAnsiTheme="minorHAnsi" w:cs="Arial"/>
          <w:b/>
          <w:szCs w:val="22"/>
          <w:u w:val="single"/>
        </w:rPr>
        <w:t xml:space="preserve">we wniosku o płatność końcową lub jego korekcie. Wskaźniki rezultatu powinny być utrzymane w okresie trwałości projektu. </w:t>
      </w:r>
    </w:p>
    <w:p w:rsidR="00043168" w:rsidRPr="00AB7A96" w:rsidRDefault="00043168" w:rsidP="00043168">
      <w:pPr>
        <w:pStyle w:val="ListParagraph"/>
        <w:spacing w:before="0" w:after="200" w:line="240" w:lineRule="auto"/>
        <w:ind w:left="1080"/>
        <w:contextualSpacing/>
        <w:jc w:val="both"/>
        <w:rPr>
          <w:rFonts w:asciiTheme="minorHAnsi" w:hAnsiTheme="minorHAnsi" w:cs="Arial"/>
          <w:b/>
          <w:szCs w:val="22"/>
          <w:u w:val="single"/>
        </w:rPr>
      </w:pPr>
      <w:r w:rsidRPr="00AB7A96">
        <w:rPr>
          <w:rFonts w:asciiTheme="minorHAnsi" w:hAnsiTheme="minorHAnsi" w:cs="Arial"/>
          <w:b/>
          <w:szCs w:val="22"/>
          <w:u w:val="single"/>
        </w:rPr>
        <w:t>lub</w:t>
      </w:r>
    </w:p>
    <w:p w:rsidR="00445B0E" w:rsidRPr="00AB7A96" w:rsidRDefault="00445B0E" w:rsidP="007650AC">
      <w:pPr>
        <w:pStyle w:val="ListParagraph"/>
        <w:numPr>
          <w:ilvl w:val="0"/>
          <w:numId w:val="6"/>
        </w:numPr>
        <w:spacing w:before="0" w:after="200" w:line="240" w:lineRule="auto"/>
        <w:ind w:left="1080"/>
        <w:contextualSpacing/>
        <w:jc w:val="both"/>
        <w:rPr>
          <w:rFonts w:asciiTheme="minorHAnsi" w:hAnsiTheme="minorHAnsi" w:cs="Arial"/>
          <w:b/>
          <w:szCs w:val="22"/>
          <w:u w:val="single"/>
        </w:rPr>
      </w:pPr>
      <w:r w:rsidRPr="00AB7A96">
        <w:rPr>
          <w:rFonts w:asciiTheme="minorHAnsi" w:hAnsiTheme="minorHAnsi" w:cs="Arial"/>
          <w:b/>
          <w:szCs w:val="22"/>
          <w:u w:val="single"/>
        </w:rPr>
        <w:t>W okresie trwałości projektu, na zasadach określonyc</w:t>
      </w:r>
      <w:r w:rsidR="00260955" w:rsidRPr="00AB7A96">
        <w:rPr>
          <w:rFonts w:asciiTheme="minorHAnsi" w:hAnsiTheme="minorHAnsi" w:cs="Arial"/>
          <w:b/>
          <w:szCs w:val="22"/>
          <w:u w:val="single"/>
        </w:rPr>
        <w:t>h przez IZ</w:t>
      </w:r>
      <w:r w:rsidRPr="00AB7A96">
        <w:rPr>
          <w:rFonts w:asciiTheme="minorHAnsi" w:hAnsiTheme="minorHAnsi" w:cs="Arial"/>
          <w:b/>
          <w:szCs w:val="22"/>
          <w:u w:val="single"/>
        </w:rPr>
        <w:t xml:space="preserve"> (w umowie o dofinansowanie projektu) – w przypadku wskaźników, których termin realizacji został wydłużony na wn</w:t>
      </w:r>
      <w:r w:rsidR="00260955" w:rsidRPr="00AB7A96">
        <w:rPr>
          <w:rFonts w:asciiTheme="minorHAnsi" w:hAnsiTheme="minorHAnsi" w:cs="Arial"/>
          <w:b/>
          <w:szCs w:val="22"/>
          <w:u w:val="single"/>
        </w:rPr>
        <w:t>iosek beneficjenta i za zgodą IZ</w:t>
      </w:r>
      <w:r w:rsidRPr="00AB7A96">
        <w:rPr>
          <w:rFonts w:asciiTheme="minorHAnsi" w:hAnsiTheme="minorHAnsi" w:cs="Arial"/>
          <w:b/>
          <w:szCs w:val="22"/>
          <w:u w:val="single"/>
        </w:rPr>
        <w:t>, jednak nie później niż do dnia 31.12.20</w:t>
      </w:r>
      <w:r w:rsidR="00E8621C" w:rsidRPr="00AB7A96">
        <w:rPr>
          <w:rFonts w:asciiTheme="minorHAnsi" w:hAnsiTheme="minorHAnsi" w:cs="Arial"/>
          <w:b/>
          <w:szCs w:val="22"/>
          <w:u w:val="single"/>
        </w:rPr>
        <w:t>2</w:t>
      </w:r>
      <w:r w:rsidRPr="00AB7A96">
        <w:rPr>
          <w:rFonts w:asciiTheme="minorHAnsi" w:hAnsiTheme="minorHAnsi" w:cs="Arial"/>
          <w:b/>
          <w:szCs w:val="22"/>
          <w:u w:val="single"/>
        </w:rPr>
        <w:t xml:space="preserve">3 r. </w:t>
      </w:r>
    </w:p>
    <w:p w:rsidR="000B32E1" w:rsidRPr="00C55C4D" w:rsidRDefault="000B32E1" w:rsidP="007650AC">
      <w:pPr>
        <w:spacing w:line="240" w:lineRule="auto"/>
        <w:rPr>
          <w:szCs w:val="22"/>
        </w:rPr>
      </w:pPr>
    </w:p>
    <w:sectPr w:rsidR="000B32E1" w:rsidRPr="00C55C4D" w:rsidSect="00651EFD">
      <w:headerReference w:type="default" r:id="rId8"/>
      <w:footerReference w:type="default" r:id="rId9"/>
      <w:headerReference w:type="first" r:id="rId10"/>
      <w:footerReference w:type="first" r:id="rId11"/>
      <w:pgSz w:w="11906" w:h="16838"/>
      <w:pgMar w:top="1417" w:right="1417" w:bottom="3119" w:left="1417" w:header="708" w:footer="33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6CDB50" w16cid:durableId="225E3F24"/>
  <w16cid:commentId w16cid:paraId="0C47FFCF" w16cid:durableId="225E3F2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2C6" w:rsidRDefault="00F622C6" w:rsidP="008C495E">
      <w:pPr>
        <w:spacing w:before="0" w:line="240" w:lineRule="auto"/>
      </w:pPr>
      <w:r>
        <w:separator/>
      </w:r>
    </w:p>
  </w:endnote>
  <w:endnote w:type="continuationSeparator" w:id="0">
    <w:p w:rsidR="00F622C6" w:rsidRDefault="00F622C6" w:rsidP="008C495E">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rPr>
      <w:id w:val="9763378"/>
      <w:docPartObj>
        <w:docPartGallery w:val="Page Numbers (Bottom of Page)"/>
        <w:docPartUnique/>
      </w:docPartObj>
    </w:sdtPr>
    <w:sdtContent>
      <w:sdt>
        <w:sdtPr>
          <w:rPr>
            <w:rFonts w:asciiTheme="minorHAnsi" w:hAnsiTheme="minorHAnsi"/>
            <w:sz w:val="20"/>
          </w:rPr>
          <w:id w:val="9763379"/>
          <w:docPartObj>
            <w:docPartGallery w:val="Page Numbers (Top of Page)"/>
            <w:docPartUnique/>
          </w:docPartObj>
        </w:sdtPr>
        <w:sdtContent>
          <w:p w:rsidR="00EF7E44" w:rsidRPr="00D721EE" w:rsidRDefault="00EF7E44">
            <w:pPr>
              <w:pStyle w:val="Footer"/>
              <w:jc w:val="center"/>
              <w:rPr>
                <w:rFonts w:asciiTheme="minorHAnsi" w:hAnsiTheme="minorHAnsi"/>
                <w:sz w:val="20"/>
              </w:rPr>
            </w:pPr>
            <w:r w:rsidRPr="00D721EE">
              <w:rPr>
                <w:rFonts w:asciiTheme="minorHAnsi" w:hAnsiTheme="minorHAnsi"/>
                <w:sz w:val="20"/>
              </w:rPr>
              <w:t xml:space="preserve">Strona </w:t>
            </w:r>
            <w:r w:rsidR="0008180C" w:rsidRPr="00D721EE">
              <w:rPr>
                <w:rFonts w:asciiTheme="minorHAnsi" w:hAnsiTheme="minorHAnsi"/>
                <w:b/>
                <w:bCs/>
                <w:sz w:val="20"/>
              </w:rPr>
              <w:fldChar w:fldCharType="begin"/>
            </w:r>
            <w:r w:rsidRPr="00D721EE">
              <w:rPr>
                <w:rFonts w:asciiTheme="minorHAnsi" w:hAnsiTheme="minorHAnsi"/>
                <w:b/>
                <w:bCs/>
                <w:sz w:val="20"/>
              </w:rPr>
              <w:instrText>PAGE</w:instrText>
            </w:r>
            <w:r w:rsidR="0008180C" w:rsidRPr="00D721EE">
              <w:rPr>
                <w:rFonts w:asciiTheme="minorHAnsi" w:hAnsiTheme="minorHAnsi"/>
                <w:b/>
                <w:bCs/>
                <w:sz w:val="20"/>
              </w:rPr>
              <w:fldChar w:fldCharType="separate"/>
            </w:r>
            <w:r w:rsidR="00C34FAD">
              <w:rPr>
                <w:rFonts w:asciiTheme="minorHAnsi" w:hAnsiTheme="minorHAnsi"/>
                <w:b/>
                <w:bCs/>
                <w:noProof/>
                <w:sz w:val="20"/>
              </w:rPr>
              <w:t>18</w:t>
            </w:r>
            <w:r w:rsidR="0008180C" w:rsidRPr="00D721EE">
              <w:rPr>
                <w:rFonts w:asciiTheme="minorHAnsi" w:hAnsiTheme="minorHAnsi"/>
                <w:b/>
                <w:bCs/>
                <w:sz w:val="20"/>
              </w:rPr>
              <w:fldChar w:fldCharType="end"/>
            </w:r>
            <w:r w:rsidRPr="00D721EE">
              <w:rPr>
                <w:rFonts w:asciiTheme="minorHAnsi" w:hAnsiTheme="minorHAnsi"/>
                <w:sz w:val="20"/>
              </w:rPr>
              <w:t xml:space="preserve"> z </w:t>
            </w:r>
            <w:r w:rsidR="0008180C" w:rsidRPr="00D721EE">
              <w:rPr>
                <w:rFonts w:asciiTheme="minorHAnsi" w:hAnsiTheme="minorHAnsi"/>
                <w:b/>
                <w:bCs/>
                <w:sz w:val="20"/>
              </w:rPr>
              <w:fldChar w:fldCharType="begin"/>
            </w:r>
            <w:r w:rsidRPr="00D721EE">
              <w:rPr>
                <w:rFonts w:asciiTheme="minorHAnsi" w:hAnsiTheme="minorHAnsi"/>
                <w:b/>
                <w:bCs/>
                <w:sz w:val="20"/>
              </w:rPr>
              <w:instrText>NUMPAGES</w:instrText>
            </w:r>
            <w:r w:rsidR="0008180C" w:rsidRPr="00D721EE">
              <w:rPr>
                <w:rFonts w:asciiTheme="minorHAnsi" w:hAnsiTheme="minorHAnsi"/>
                <w:b/>
                <w:bCs/>
                <w:sz w:val="20"/>
              </w:rPr>
              <w:fldChar w:fldCharType="separate"/>
            </w:r>
            <w:r w:rsidR="00C34FAD">
              <w:rPr>
                <w:rFonts w:asciiTheme="minorHAnsi" w:hAnsiTheme="minorHAnsi"/>
                <w:b/>
                <w:bCs/>
                <w:noProof/>
                <w:sz w:val="20"/>
              </w:rPr>
              <w:t>18</w:t>
            </w:r>
            <w:r w:rsidR="0008180C" w:rsidRPr="00D721EE">
              <w:rPr>
                <w:rFonts w:asciiTheme="minorHAnsi" w:hAnsiTheme="minorHAnsi"/>
                <w:b/>
                <w:bCs/>
                <w:sz w:val="20"/>
              </w:rPr>
              <w:fldChar w:fldCharType="end"/>
            </w:r>
          </w:p>
        </w:sdtContent>
      </w:sdt>
    </w:sdtContent>
  </w:sdt>
  <w:p w:rsidR="00EF7E44" w:rsidRPr="00D721EE" w:rsidRDefault="00EF7E44">
    <w:pPr>
      <w:pStyle w:val="Footer"/>
      <w:rPr>
        <w:rFonts w:asciiTheme="minorHAnsi" w:hAnsiTheme="minorHAns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E5" w:rsidRPr="00C41932" w:rsidRDefault="008D64E5" w:rsidP="008D64E5">
    <w:pPr>
      <w:jc w:val="center"/>
      <w:rPr>
        <w:noProof/>
        <w:sz w:val="12"/>
        <w:szCs w:val="12"/>
      </w:rPr>
    </w:pPr>
    <w:r w:rsidRPr="00C41932">
      <w:rPr>
        <w:noProof/>
        <w:sz w:val="12"/>
        <w:szCs w:val="12"/>
      </w:rPr>
      <w:drawing>
        <wp:inline distT="0" distB="0" distL="0" distR="0">
          <wp:extent cx="4968552" cy="620051"/>
          <wp:effectExtent l="0" t="0" r="3810" b="8890"/>
          <wp:docPr id="8"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8D64E5" w:rsidRPr="00F076EA" w:rsidRDefault="008D64E5" w:rsidP="008D64E5">
    <w:pPr>
      <w:jc w:val="center"/>
      <w:rPr>
        <w:b/>
        <w:i/>
        <w:sz w:val="16"/>
        <w:szCs w:val="16"/>
      </w:rPr>
    </w:pPr>
    <w:r>
      <w:rPr>
        <w:b/>
        <w:i/>
        <w:sz w:val="16"/>
        <w:szCs w:val="16"/>
      </w:rPr>
      <w:t xml:space="preserve">Projekt współfinansowany ze środków  Europejskiego Funduszu Społecznego    </w:t>
    </w:r>
  </w:p>
  <w:p w:rsidR="008D64E5" w:rsidRDefault="008D6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2C6" w:rsidRDefault="00F622C6" w:rsidP="008C495E">
      <w:pPr>
        <w:spacing w:before="0" w:line="240" w:lineRule="auto"/>
      </w:pPr>
      <w:r>
        <w:separator/>
      </w:r>
    </w:p>
  </w:footnote>
  <w:footnote w:type="continuationSeparator" w:id="0">
    <w:p w:rsidR="00F622C6" w:rsidRDefault="00F622C6" w:rsidP="008C495E">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6C" w:rsidRDefault="00527E6C" w:rsidP="00527E6C">
    <w:pPr>
      <w:jc w:val="right"/>
      <w:rPr>
        <w:rFonts w:ascii="Verdana" w:hAnsi="Verdana"/>
        <w:noProof/>
        <w:color w:val="000000"/>
        <w:sz w:val="14"/>
        <w:szCs w:val="14"/>
      </w:rPr>
    </w:pPr>
  </w:p>
  <w:p w:rsidR="00EF7E44" w:rsidRDefault="00EF7E44" w:rsidP="00C0278F">
    <w:pPr>
      <w:pStyle w:val="Header"/>
      <w:tabs>
        <w:tab w:val="clear" w:pos="4536"/>
        <w:tab w:val="clear" w:pos="9072"/>
        <w:tab w:val="left" w:pos="6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FD" w:rsidRDefault="00651EFD" w:rsidP="00651EFD">
    <w:pPr>
      <w:jc w:val="right"/>
      <w:rPr>
        <w:rFonts w:ascii="Verdana" w:hAnsi="Verdana"/>
        <w:noProof/>
        <w:color w:val="000000"/>
        <w:sz w:val="14"/>
        <w:szCs w:val="14"/>
      </w:rPr>
    </w:pPr>
    <w:r>
      <w:rPr>
        <w:noProof/>
      </w:rPr>
      <w:drawing>
        <wp:inline distT="0" distB="0" distL="0" distR="0">
          <wp:extent cx="1629271" cy="499174"/>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651EFD" w:rsidRPr="005F5249" w:rsidRDefault="00651EFD" w:rsidP="00651EF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rsidR="00651EFD" w:rsidRPr="00651EFD" w:rsidRDefault="0008180C" w:rsidP="00651EFD">
    <w:pPr>
      <w:pStyle w:val="Footer"/>
      <w:jc w:val="right"/>
      <w:rPr>
        <w:sz w:val="16"/>
        <w:szCs w:val="16"/>
      </w:rPr>
    </w:pPr>
    <w:hyperlink r:id="rId2" w:history="1">
      <w:r w:rsidR="00651EFD" w:rsidRPr="00120363">
        <w:rPr>
          <w:rStyle w:val="Hyperlink"/>
        </w:rPr>
        <w:t>sekretariat@dip.dolnyslask.pl</w:t>
      </w:r>
    </w:hyperlink>
    <w:r w:rsidR="00651EFD" w:rsidRPr="00120363">
      <w:rPr>
        <w:sz w:val="16"/>
        <w:szCs w:val="16"/>
      </w:rPr>
      <w:t xml:space="preserve">, </w:t>
    </w:r>
    <w:hyperlink r:id="rId3" w:history="1">
      <w:r w:rsidR="00651EFD" w:rsidRPr="009D450E">
        <w:rPr>
          <w:rStyle w:val="Hyperlink"/>
        </w:rPr>
        <w:t>www.dip.dolnyslask.pl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9"/>
  </w:num>
  <w:num w:numId="9">
    <w:abstractNumId w:val="0"/>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8C495E"/>
    <w:rsid w:val="00007F32"/>
    <w:rsid w:val="00043168"/>
    <w:rsid w:val="000434B4"/>
    <w:rsid w:val="0005118E"/>
    <w:rsid w:val="0008180C"/>
    <w:rsid w:val="00094C3F"/>
    <w:rsid w:val="00095C84"/>
    <w:rsid w:val="000B32E1"/>
    <w:rsid w:val="000B6963"/>
    <w:rsid w:val="000C57E0"/>
    <w:rsid w:val="000E1C5E"/>
    <w:rsid w:val="000F5C98"/>
    <w:rsid w:val="00101429"/>
    <w:rsid w:val="00114550"/>
    <w:rsid w:val="0011515E"/>
    <w:rsid w:val="00123618"/>
    <w:rsid w:val="00133659"/>
    <w:rsid w:val="00141571"/>
    <w:rsid w:val="00151BAD"/>
    <w:rsid w:val="0015486C"/>
    <w:rsid w:val="0017262A"/>
    <w:rsid w:val="00181293"/>
    <w:rsid w:val="00187C0F"/>
    <w:rsid w:val="00191605"/>
    <w:rsid w:val="001A7A07"/>
    <w:rsid w:val="001B7345"/>
    <w:rsid w:val="001C4F9E"/>
    <w:rsid w:val="00253FAA"/>
    <w:rsid w:val="00260955"/>
    <w:rsid w:val="002747B4"/>
    <w:rsid w:val="002972E4"/>
    <w:rsid w:val="002A1BDB"/>
    <w:rsid w:val="002A20B7"/>
    <w:rsid w:val="002B6673"/>
    <w:rsid w:val="002C1258"/>
    <w:rsid w:val="002C1BFC"/>
    <w:rsid w:val="002C4E15"/>
    <w:rsid w:val="002C56E7"/>
    <w:rsid w:val="002D347D"/>
    <w:rsid w:val="002D5507"/>
    <w:rsid w:val="002E6E1E"/>
    <w:rsid w:val="002F6273"/>
    <w:rsid w:val="0032765F"/>
    <w:rsid w:val="0033077A"/>
    <w:rsid w:val="00331F09"/>
    <w:rsid w:val="00332CDB"/>
    <w:rsid w:val="00340A6B"/>
    <w:rsid w:val="00356F23"/>
    <w:rsid w:val="003577E7"/>
    <w:rsid w:val="00357B27"/>
    <w:rsid w:val="00364299"/>
    <w:rsid w:val="00370466"/>
    <w:rsid w:val="00372A5F"/>
    <w:rsid w:val="003A317E"/>
    <w:rsid w:val="003C55C7"/>
    <w:rsid w:val="003D26F5"/>
    <w:rsid w:val="003D2C3D"/>
    <w:rsid w:val="003D3BC5"/>
    <w:rsid w:val="003E7930"/>
    <w:rsid w:val="003F1889"/>
    <w:rsid w:val="003F445C"/>
    <w:rsid w:val="004015E8"/>
    <w:rsid w:val="0041446A"/>
    <w:rsid w:val="00421C29"/>
    <w:rsid w:val="00423496"/>
    <w:rsid w:val="00433A72"/>
    <w:rsid w:val="00445B0E"/>
    <w:rsid w:val="00453293"/>
    <w:rsid w:val="0046263E"/>
    <w:rsid w:val="00471B0C"/>
    <w:rsid w:val="00476947"/>
    <w:rsid w:val="004A6E42"/>
    <w:rsid w:val="004B303A"/>
    <w:rsid w:val="004B3AF6"/>
    <w:rsid w:val="004D4678"/>
    <w:rsid w:val="004E6481"/>
    <w:rsid w:val="004E719F"/>
    <w:rsid w:val="004F6746"/>
    <w:rsid w:val="005038EA"/>
    <w:rsid w:val="00516B06"/>
    <w:rsid w:val="00522930"/>
    <w:rsid w:val="0052529C"/>
    <w:rsid w:val="00527E6C"/>
    <w:rsid w:val="00535E8F"/>
    <w:rsid w:val="00536389"/>
    <w:rsid w:val="00555321"/>
    <w:rsid w:val="0056032B"/>
    <w:rsid w:val="005657D8"/>
    <w:rsid w:val="005A1F55"/>
    <w:rsid w:val="005E022F"/>
    <w:rsid w:val="005E0C60"/>
    <w:rsid w:val="005E16D7"/>
    <w:rsid w:val="005F02A1"/>
    <w:rsid w:val="005F0E5F"/>
    <w:rsid w:val="0060140B"/>
    <w:rsid w:val="006033E8"/>
    <w:rsid w:val="00603595"/>
    <w:rsid w:val="00620A45"/>
    <w:rsid w:val="00627640"/>
    <w:rsid w:val="00635DB0"/>
    <w:rsid w:val="00642A3F"/>
    <w:rsid w:val="00651EFD"/>
    <w:rsid w:val="006667A2"/>
    <w:rsid w:val="006A09F0"/>
    <w:rsid w:val="006C29E2"/>
    <w:rsid w:val="006C652C"/>
    <w:rsid w:val="006E2656"/>
    <w:rsid w:val="00701E65"/>
    <w:rsid w:val="00704B1F"/>
    <w:rsid w:val="007127DD"/>
    <w:rsid w:val="0072791E"/>
    <w:rsid w:val="007300ED"/>
    <w:rsid w:val="007411C0"/>
    <w:rsid w:val="00741B27"/>
    <w:rsid w:val="0074262E"/>
    <w:rsid w:val="007447A2"/>
    <w:rsid w:val="007479B1"/>
    <w:rsid w:val="0075310C"/>
    <w:rsid w:val="00761528"/>
    <w:rsid w:val="00762973"/>
    <w:rsid w:val="007650AC"/>
    <w:rsid w:val="007704B3"/>
    <w:rsid w:val="00771632"/>
    <w:rsid w:val="007807DB"/>
    <w:rsid w:val="00787387"/>
    <w:rsid w:val="00795831"/>
    <w:rsid w:val="00797AB5"/>
    <w:rsid w:val="007B39C9"/>
    <w:rsid w:val="007D1CF1"/>
    <w:rsid w:val="007D7DE7"/>
    <w:rsid w:val="007E025A"/>
    <w:rsid w:val="007E4018"/>
    <w:rsid w:val="007E6D53"/>
    <w:rsid w:val="007E73B8"/>
    <w:rsid w:val="008032B0"/>
    <w:rsid w:val="00823B2B"/>
    <w:rsid w:val="00832929"/>
    <w:rsid w:val="00842135"/>
    <w:rsid w:val="00852665"/>
    <w:rsid w:val="00855888"/>
    <w:rsid w:val="0086698D"/>
    <w:rsid w:val="00871F22"/>
    <w:rsid w:val="00883644"/>
    <w:rsid w:val="00886D79"/>
    <w:rsid w:val="008A09D1"/>
    <w:rsid w:val="008A195C"/>
    <w:rsid w:val="008A5B45"/>
    <w:rsid w:val="008B21E1"/>
    <w:rsid w:val="008B73B1"/>
    <w:rsid w:val="008C1026"/>
    <w:rsid w:val="008C495E"/>
    <w:rsid w:val="008D64E5"/>
    <w:rsid w:val="008E3F0D"/>
    <w:rsid w:val="008F1A47"/>
    <w:rsid w:val="009024D3"/>
    <w:rsid w:val="00903BE8"/>
    <w:rsid w:val="00911273"/>
    <w:rsid w:val="00924428"/>
    <w:rsid w:val="009302C6"/>
    <w:rsid w:val="00944996"/>
    <w:rsid w:val="009456DB"/>
    <w:rsid w:val="00957784"/>
    <w:rsid w:val="009C633C"/>
    <w:rsid w:val="009D04DE"/>
    <w:rsid w:val="009D3C56"/>
    <w:rsid w:val="009E65D0"/>
    <w:rsid w:val="00A01D54"/>
    <w:rsid w:val="00A175EB"/>
    <w:rsid w:val="00A214C1"/>
    <w:rsid w:val="00A32D10"/>
    <w:rsid w:val="00A401AF"/>
    <w:rsid w:val="00A41B47"/>
    <w:rsid w:val="00A603C0"/>
    <w:rsid w:val="00A665D9"/>
    <w:rsid w:val="00A75FD2"/>
    <w:rsid w:val="00A84F1F"/>
    <w:rsid w:val="00AB7A96"/>
    <w:rsid w:val="00AD01F2"/>
    <w:rsid w:val="00AD2437"/>
    <w:rsid w:val="00AF4224"/>
    <w:rsid w:val="00B204DD"/>
    <w:rsid w:val="00B2308A"/>
    <w:rsid w:val="00B235B0"/>
    <w:rsid w:val="00B304DD"/>
    <w:rsid w:val="00B41267"/>
    <w:rsid w:val="00B65B2E"/>
    <w:rsid w:val="00B712D8"/>
    <w:rsid w:val="00B722E4"/>
    <w:rsid w:val="00B80838"/>
    <w:rsid w:val="00B83A65"/>
    <w:rsid w:val="00B840A9"/>
    <w:rsid w:val="00B87C4A"/>
    <w:rsid w:val="00BC0189"/>
    <w:rsid w:val="00BC03CE"/>
    <w:rsid w:val="00BD2B11"/>
    <w:rsid w:val="00BE329B"/>
    <w:rsid w:val="00BF3553"/>
    <w:rsid w:val="00C0278F"/>
    <w:rsid w:val="00C02E80"/>
    <w:rsid w:val="00C063C7"/>
    <w:rsid w:val="00C10532"/>
    <w:rsid w:val="00C14D4B"/>
    <w:rsid w:val="00C15D0B"/>
    <w:rsid w:val="00C31711"/>
    <w:rsid w:val="00C34FAD"/>
    <w:rsid w:val="00C377D3"/>
    <w:rsid w:val="00C40265"/>
    <w:rsid w:val="00C40E8D"/>
    <w:rsid w:val="00C42185"/>
    <w:rsid w:val="00C55C4D"/>
    <w:rsid w:val="00C621AD"/>
    <w:rsid w:val="00C8149D"/>
    <w:rsid w:val="00C84C44"/>
    <w:rsid w:val="00C8517F"/>
    <w:rsid w:val="00C8536E"/>
    <w:rsid w:val="00C90F5E"/>
    <w:rsid w:val="00CB2B67"/>
    <w:rsid w:val="00CC41E6"/>
    <w:rsid w:val="00CC7758"/>
    <w:rsid w:val="00CE73BE"/>
    <w:rsid w:val="00CF1BEA"/>
    <w:rsid w:val="00CF69D1"/>
    <w:rsid w:val="00CF79AF"/>
    <w:rsid w:val="00D03CAB"/>
    <w:rsid w:val="00D11CB4"/>
    <w:rsid w:val="00D11E26"/>
    <w:rsid w:val="00D11F7F"/>
    <w:rsid w:val="00D20133"/>
    <w:rsid w:val="00D23755"/>
    <w:rsid w:val="00D4113B"/>
    <w:rsid w:val="00D5098A"/>
    <w:rsid w:val="00D50C00"/>
    <w:rsid w:val="00D569AA"/>
    <w:rsid w:val="00D6464F"/>
    <w:rsid w:val="00D64BC7"/>
    <w:rsid w:val="00D67100"/>
    <w:rsid w:val="00D721EE"/>
    <w:rsid w:val="00D85CE0"/>
    <w:rsid w:val="00D93881"/>
    <w:rsid w:val="00DA5AFE"/>
    <w:rsid w:val="00DC686F"/>
    <w:rsid w:val="00DC7F6C"/>
    <w:rsid w:val="00DF2FA3"/>
    <w:rsid w:val="00DF5A4F"/>
    <w:rsid w:val="00DF6D97"/>
    <w:rsid w:val="00DF7EE2"/>
    <w:rsid w:val="00E232BB"/>
    <w:rsid w:val="00E27D1D"/>
    <w:rsid w:val="00E32B6F"/>
    <w:rsid w:val="00E33C26"/>
    <w:rsid w:val="00E40539"/>
    <w:rsid w:val="00E41403"/>
    <w:rsid w:val="00E428FC"/>
    <w:rsid w:val="00E43265"/>
    <w:rsid w:val="00E45E1F"/>
    <w:rsid w:val="00E47419"/>
    <w:rsid w:val="00E50219"/>
    <w:rsid w:val="00E61834"/>
    <w:rsid w:val="00E704BE"/>
    <w:rsid w:val="00E72468"/>
    <w:rsid w:val="00E8621C"/>
    <w:rsid w:val="00E90CA0"/>
    <w:rsid w:val="00E93BEA"/>
    <w:rsid w:val="00EA68D3"/>
    <w:rsid w:val="00ED29D0"/>
    <w:rsid w:val="00EE4C8C"/>
    <w:rsid w:val="00EE7D0C"/>
    <w:rsid w:val="00EF7E44"/>
    <w:rsid w:val="00F014B2"/>
    <w:rsid w:val="00F02218"/>
    <w:rsid w:val="00F11106"/>
    <w:rsid w:val="00F126A5"/>
    <w:rsid w:val="00F24224"/>
    <w:rsid w:val="00F32FA1"/>
    <w:rsid w:val="00F41E11"/>
    <w:rsid w:val="00F449AA"/>
    <w:rsid w:val="00F4793E"/>
    <w:rsid w:val="00F60155"/>
    <w:rsid w:val="00F6067E"/>
    <w:rsid w:val="00F61B14"/>
    <w:rsid w:val="00F61E00"/>
    <w:rsid w:val="00F622C6"/>
    <w:rsid w:val="00F8106E"/>
    <w:rsid w:val="00F9504B"/>
    <w:rsid w:val="00FC43CF"/>
    <w:rsid w:val="00FC6B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5E"/>
    <w:pPr>
      <w:spacing w:before="200" w:after="0" w:line="320" w:lineRule="atLeast"/>
    </w:pPr>
    <w:rPr>
      <w:rFonts w:ascii="Arial" w:eastAsia="Times New Roman" w:hAnsi="Arial" w:cs="Times New Roman"/>
      <w:szCs w:val="20"/>
      <w:lang w:eastAsia="pl-PL"/>
    </w:rPr>
  </w:style>
  <w:style w:type="paragraph" w:styleId="Heading1">
    <w:name w:val="heading 1"/>
    <w:basedOn w:val="Normal"/>
    <w:next w:val="Normal"/>
    <w:link w:val="Heading1Char"/>
    <w:uiPriority w:val="99"/>
    <w:qFormat/>
    <w:rsid w:val="008C49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495E"/>
    <w:rPr>
      <w:rFonts w:ascii="Arial" w:eastAsia="Times New Roman" w:hAnsi="Arial" w:cs="Arial"/>
      <w:b/>
      <w:bCs/>
      <w:kern w:val="32"/>
      <w:sz w:val="32"/>
      <w:szCs w:val="32"/>
      <w:lang w:eastAsia="pl-PL"/>
    </w:rPr>
  </w:style>
  <w:style w:type="paragraph" w:styleId="ListParagraph">
    <w:name w:val="List Paragraph"/>
    <w:basedOn w:val="Normal"/>
    <w:link w:val="ListParagraphChar"/>
    <w:uiPriority w:val="34"/>
    <w:qFormat/>
    <w:rsid w:val="008C495E"/>
    <w:pPr>
      <w:ind w:left="708"/>
    </w:pPr>
  </w:style>
  <w:style w:type="character" w:customStyle="1" w:styleId="ListParagraphChar">
    <w:name w:val="List Paragraph Char"/>
    <w:link w:val="ListParagraph"/>
    <w:uiPriority w:val="34"/>
    <w:rsid w:val="008C495E"/>
    <w:rPr>
      <w:rFonts w:ascii="Arial" w:eastAsia="Times New Roman" w:hAnsi="Arial" w:cs="Times New Roman"/>
      <w:szCs w:val="20"/>
      <w:lang w:eastAsia="pl-PL"/>
    </w:rPr>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
    <w:link w:val="FootnoteTextChar"/>
    <w:qFormat/>
    <w:rsid w:val="008C495E"/>
    <w:pPr>
      <w:spacing w:before="0" w:line="240" w:lineRule="auto"/>
    </w:pPr>
    <w:rPr>
      <w:rFonts w:ascii="Times New Roman" w:hAnsi="Times New Roman"/>
      <w:sz w:val="20"/>
      <w:szCs w:val="24"/>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r"/>
    <w:basedOn w:val="DefaultParagraphFont"/>
    <w:link w:val="FootnoteText"/>
    <w:rsid w:val="008C495E"/>
    <w:rPr>
      <w:rFonts w:ascii="Times New Roman" w:eastAsia="Times New Roman" w:hAnsi="Times New Roman" w:cs="Times New Roman"/>
      <w:sz w:val="20"/>
      <w:szCs w:val="24"/>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leGrid">
    <w:name w:val="Table Grid"/>
    <w:basedOn w:val="TableNormal"/>
    <w:uiPriority w:val="59"/>
    <w:rsid w:val="008C49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127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273"/>
    <w:rPr>
      <w:rFonts w:ascii="Tahoma" w:eastAsia="Times New Roman" w:hAnsi="Tahoma" w:cs="Tahoma"/>
      <w:sz w:val="16"/>
      <w:szCs w:val="16"/>
      <w:lang w:eastAsia="pl-PL"/>
    </w:rPr>
  </w:style>
  <w:style w:type="character" w:styleId="CommentReference">
    <w:name w:val="annotation reference"/>
    <w:basedOn w:val="DefaultParagraphFont"/>
    <w:uiPriority w:val="99"/>
    <w:semiHidden/>
    <w:unhideWhenUsed/>
    <w:rsid w:val="00370466"/>
    <w:rPr>
      <w:sz w:val="16"/>
      <w:szCs w:val="16"/>
    </w:rPr>
  </w:style>
  <w:style w:type="paragraph" w:styleId="CommentText">
    <w:name w:val="annotation text"/>
    <w:basedOn w:val="Normal"/>
    <w:link w:val="CommentTextChar"/>
    <w:uiPriority w:val="99"/>
    <w:unhideWhenUsed/>
    <w:rsid w:val="00370466"/>
    <w:pPr>
      <w:spacing w:line="240" w:lineRule="auto"/>
    </w:pPr>
    <w:rPr>
      <w:sz w:val="20"/>
    </w:rPr>
  </w:style>
  <w:style w:type="character" w:customStyle="1" w:styleId="CommentTextChar">
    <w:name w:val="Comment Text Char"/>
    <w:basedOn w:val="DefaultParagraphFont"/>
    <w:link w:val="CommentText"/>
    <w:uiPriority w:val="99"/>
    <w:rsid w:val="00370466"/>
    <w:rPr>
      <w:rFonts w:ascii="Arial" w:eastAsia="Times New Roman" w:hAnsi="Arial"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370466"/>
    <w:rPr>
      <w:b/>
      <w:bCs/>
    </w:rPr>
  </w:style>
  <w:style w:type="character" w:customStyle="1" w:styleId="CommentSubjectChar">
    <w:name w:val="Comment Subject Char"/>
    <w:basedOn w:val="CommentTextChar"/>
    <w:link w:val="CommentSubject"/>
    <w:uiPriority w:val="99"/>
    <w:semiHidden/>
    <w:rsid w:val="00370466"/>
    <w:rPr>
      <w:rFonts w:ascii="Arial" w:eastAsia="Times New Roman" w:hAnsi="Arial" w:cs="Times New Roman"/>
      <w:b/>
      <w:bCs/>
      <w:sz w:val="20"/>
      <w:szCs w:val="20"/>
      <w:lang w:eastAsia="pl-PL"/>
    </w:rPr>
  </w:style>
  <w:style w:type="paragraph" w:styleId="Header">
    <w:name w:val="header"/>
    <w:aliases w:val="Znak Znak,Znak"/>
    <w:basedOn w:val="Normal"/>
    <w:link w:val="HeaderChar"/>
    <w:uiPriority w:val="99"/>
    <w:unhideWhenUsed/>
    <w:rsid w:val="00C0278F"/>
    <w:pPr>
      <w:tabs>
        <w:tab w:val="center" w:pos="4536"/>
        <w:tab w:val="right" w:pos="9072"/>
      </w:tabs>
      <w:spacing w:before="0" w:line="240" w:lineRule="auto"/>
    </w:pPr>
  </w:style>
  <w:style w:type="character" w:customStyle="1" w:styleId="HeaderChar">
    <w:name w:val="Header Char"/>
    <w:aliases w:val="Znak Znak Char,Znak Char"/>
    <w:basedOn w:val="DefaultParagraphFont"/>
    <w:link w:val="Header"/>
    <w:uiPriority w:val="99"/>
    <w:rsid w:val="00C0278F"/>
    <w:rPr>
      <w:rFonts w:ascii="Arial" w:eastAsia="Times New Roman" w:hAnsi="Arial" w:cs="Times New Roman"/>
      <w:szCs w:val="20"/>
      <w:lang w:eastAsia="pl-PL"/>
    </w:rPr>
  </w:style>
  <w:style w:type="paragraph" w:styleId="Footer">
    <w:name w:val="footer"/>
    <w:basedOn w:val="Normal"/>
    <w:link w:val="FooterChar"/>
    <w:uiPriority w:val="99"/>
    <w:unhideWhenUsed/>
    <w:rsid w:val="00C0278F"/>
    <w:pPr>
      <w:tabs>
        <w:tab w:val="center" w:pos="4536"/>
        <w:tab w:val="right" w:pos="9072"/>
      </w:tabs>
      <w:spacing w:before="0" w:line="240" w:lineRule="auto"/>
    </w:pPr>
  </w:style>
  <w:style w:type="character" w:customStyle="1" w:styleId="FooterChar">
    <w:name w:val="Footer Char"/>
    <w:basedOn w:val="DefaultParagraphFont"/>
    <w:link w:val="Footer"/>
    <w:uiPriority w:val="99"/>
    <w:rsid w:val="00C0278F"/>
    <w:rPr>
      <w:rFonts w:ascii="Arial" w:eastAsia="Times New Roman" w:hAnsi="Arial" w:cs="Times New Roman"/>
      <w:szCs w:val="20"/>
      <w:lang w:eastAsia="pl-PL"/>
    </w:rPr>
  </w:style>
  <w:style w:type="character" w:customStyle="1" w:styleId="tabulatory">
    <w:name w:val="tabulatory"/>
    <w:basedOn w:val="DefaultParagraphFont"/>
    <w:rsid w:val="00883644"/>
  </w:style>
  <w:style w:type="paragraph" w:styleId="HTMLPreformatted">
    <w:name w:val="HTML Preformatted"/>
    <w:basedOn w:val="Normal"/>
    <w:link w:val="HTMLPreformattedChar"/>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E7930"/>
    <w:rPr>
      <w:rFonts w:ascii="Courier New" w:eastAsia="Times New Roman" w:hAnsi="Courier New" w:cs="Courier New"/>
      <w:sz w:val="20"/>
      <w:szCs w:val="20"/>
      <w:lang w:eastAsia="pl-PL"/>
    </w:rPr>
  </w:style>
  <w:style w:type="character" w:styleId="Hyperlink">
    <w:name w:val="Hyperlink"/>
    <w:basedOn w:val="DefaultParagraphFont"/>
    <w:uiPriority w:val="99"/>
    <w:unhideWhenUsed/>
    <w:rsid w:val="00527E6C"/>
    <w:rPr>
      <w:color w:val="0000FF"/>
      <w:u w:val="single"/>
    </w:rPr>
  </w:style>
</w:styles>
</file>

<file path=word/webSettings.xml><?xml version="1.0" encoding="utf-8"?>
<w:webSettings xmlns:r="http://schemas.openxmlformats.org/officeDocument/2006/relationships" xmlns:w="http://schemas.openxmlformats.org/wordprocessingml/2006/main">
  <w:divs>
    <w:div w:id="272057489">
      <w:bodyDiv w:val="1"/>
      <w:marLeft w:val="0"/>
      <w:marRight w:val="0"/>
      <w:marTop w:val="0"/>
      <w:marBottom w:val="0"/>
      <w:divBdr>
        <w:top w:val="none" w:sz="0" w:space="0" w:color="auto"/>
        <w:left w:val="none" w:sz="0" w:space="0" w:color="auto"/>
        <w:bottom w:val="none" w:sz="0" w:space="0" w:color="auto"/>
        <w:right w:val="none" w:sz="0" w:space="0" w:color="auto"/>
      </w:divBdr>
    </w:div>
    <w:div w:id="301347452">
      <w:bodyDiv w:val="1"/>
      <w:marLeft w:val="0"/>
      <w:marRight w:val="0"/>
      <w:marTop w:val="0"/>
      <w:marBottom w:val="0"/>
      <w:divBdr>
        <w:top w:val="none" w:sz="0" w:space="0" w:color="auto"/>
        <w:left w:val="none" w:sz="0" w:space="0" w:color="auto"/>
        <w:bottom w:val="none" w:sz="0" w:space="0" w:color="auto"/>
        <w:right w:val="none" w:sz="0" w:space="0" w:color="auto"/>
      </w:divBdr>
    </w:div>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20514804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10272907">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sChild>
    </w:div>
    <w:div w:id="359817767">
      <w:bodyDiv w:val="1"/>
      <w:marLeft w:val="0"/>
      <w:marRight w:val="0"/>
      <w:marTop w:val="0"/>
      <w:marBottom w:val="0"/>
      <w:divBdr>
        <w:top w:val="none" w:sz="0" w:space="0" w:color="auto"/>
        <w:left w:val="none" w:sz="0" w:space="0" w:color="auto"/>
        <w:bottom w:val="none" w:sz="0" w:space="0" w:color="auto"/>
        <w:right w:val="none" w:sz="0" w:space="0" w:color="auto"/>
      </w:divBdr>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1106970">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113402654">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977882197">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95755960">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877887024">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244920123">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472715577">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sChild>
    </w:div>
    <w:div w:id="191955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DA96B-53C2-45B1-B0B7-18E82EE2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4523</Words>
  <Characters>27144</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31604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Zach Ar</cp:lastModifiedBy>
  <cp:revision>2</cp:revision>
  <cp:lastPrinted>2016-12-12T08:19:00Z</cp:lastPrinted>
  <dcterms:created xsi:type="dcterms:W3CDTF">2020-05-13T11:38:00Z</dcterms:created>
  <dcterms:modified xsi:type="dcterms:W3CDTF">2020-05-13T11:38:00Z</dcterms:modified>
</cp:coreProperties>
</file>