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741" w:rsidRPr="009F303C" w:rsidRDefault="00B71741" w:rsidP="005172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4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277C45">
        <w:rPr>
          <w:rFonts w:cs="Arial"/>
          <w:sz w:val="20"/>
          <w:szCs w:val="20"/>
          <w:lang w:eastAsia="en-US"/>
        </w:rPr>
        <w:t xml:space="preserve"> 29 czerwca 2020</w:t>
      </w:r>
      <w:bookmarkStart w:id="0" w:name="_GoBack"/>
      <w:bookmarkEnd w:id="0"/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ListParagraph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lastRenderedPageBreak/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FootnoteReference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FootnoteReference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563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Internacjonalizacja przedsiębiorstw – projekty, których celem jest </w:t>
            </w:r>
            <w:r w:rsidRPr="00DD0783">
              <w:lastRenderedPageBreak/>
              <w:t>promocja, Działania 4.1 Gospodarka odpadami oraz Działania 5.2 System transportu kolejowego, zasady realizacji których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FootnoteReference"/>
              </w:rPr>
              <w:footnoteReference w:id="5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</w:r>
            <w:r w:rsidRPr="00DD0783">
              <w:lastRenderedPageBreak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</w:t>
            </w:r>
            <w:r w:rsidR="00A2094C" w:rsidRPr="00DD0783">
              <w:lastRenderedPageBreak/>
              <w:t xml:space="preserve">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 xml:space="preserve">mogą być uwzględniane tylko te ww. osoby, które w co najmniej 25% czasu w danym okresie rozliczeniowym wykonują zadania kwalifikowalne w ramach projektu; wówczas za kwalifikowalną </w:t>
            </w:r>
            <w:r w:rsidRPr="00DD0783">
              <w:lastRenderedPageBreak/>
              <w:t>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FootnoteReference"/>
              </w:rPr>
              <w:footnoteReference w:id="8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FootnoteReference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FootnoteReference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</w:t>
            </w:r>
            <w:r w:rsidRPr="00DD0783">
              <w:lastRenderedPageBreak/>
              <w:t xml:space="preserve">wniosku o dofinansowanie. 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FootnoteReference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obsługę techniczną/koszty utrzymania.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ListParagraph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FootnoteReference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FootnoteReference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FootnoteReference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FootnoteReference"/>
        </w:rPr>
        <w:footnoteReference w:id="16"/>
      </w:r>
      <w:r w:rsidR="00DD5F4B" w:rsidRPr="00DD0783">
        <w:rPr>
          <w:rStyle w:val="EndnoteReference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ListParagraph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FootnoteReference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FootnoteReference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lastRenderedPageBreak/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FootnoteReference"/>
        </w:rPr>
        <w:footnoteReference w:id="19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FootnoteReference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FootnoteReference"/>
          <w:rFonts w:cs="Arial"/>
        </w:rPr>
        <w:footnoteReference w:id="21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FootnoteReference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FootnoteReference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udział w targach/misjach/wystawach poniesione przed złożeniem wniosku o dofinansowanie z wyłączeniem wydatków związanych z wpłatą zaliczki na udział </w:t>
      </w:r>
      <w:r w:rsidRPr="00DD0783">
        <w:rPr>
          <w:rFonts w:eastAsia="Times New Roman" w:cs="Times New Roman"/>
        </w:rPr>
        <w:lastRenderedPageBreak/>
        <w:t>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6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FootnoteReference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8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FootnoteReference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FootnoteReference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FootnoteReference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:rsidR="000B129E" w:rsidRDefault="000B129E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 xml:space="preserve">koszty utrzymania budynku stanowią łącznie wszystkie </w:t>
      </w:r>
      <w:r w:rsidR="009261C8" w:rsidRPr="00DD0783">
        <w:rPr>
          <w:rFonts w:eastAsia="Calibri" w:cs="Times New Roman"/>
          <w:lang w:eastAsia="en-US"/>
        </w:rPr>
        <w:lastRenderedPageBreak/>
        <w:t>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FootnoteReference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ListParagraph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FootnoteReference"/>
        </w:rPr>
        <w:footnoteReference w:id="33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FootnoteReference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FootnoteReference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ListParagraph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FootnoteReference"/>
        </w:rPr>
        <w:footnoteReference w:id="38"/>
      </w:r>
      <w:r w:rsidRPr="00DD0783">
        <w:t>.</w:t>
      </w:r>
    </w:p>
    <w:p w:rsidR="001213D3" w:rsidRPr="00DD0783" w:rsidRDefault="001D4A2D" w:rsidP="00E71C56">
      <w:pPr>
        <w:pStyle w:val="ListParagraph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lastRenderedPageBreak/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FootnoteReference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FootnoteReference"/>
        </w:rPr>
        <w:footnoteReference w:id="40"/>
      </w:r>
      <w:r w:rsidR="00880E60">
        <w:t>.</w:t>
      </w:r>
    </w:p>
    <w:p w:rsidR="00014B07" w:rsidRPr="00DD078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FootnoteReference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ListParagraph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FootnoteReference"/>
          <w:rFonts w:eastAsia="Times New Roman" w:cs="Times New Roman"/>
        </w:rPr>
        <w:footnoteReference w:id="42"/>
      </w:r>
    </w:p>
    <w:p w:rsidR="00283995" w:rsidRPr="00283995" w:rsidRDefault="00283995" w:rsidP="00E71C56">
      <w:pPr>
        <w:pStyle w:val="ListParagraph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ListParagraph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FootnoteReference"/>
        </w:rPr>
        <w:footnoteReference w:id="43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lastRenderedPageBreak/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ListParagraph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ListParagraph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FootnoteReference"/>
          <w:rFonts w:cs="Arial"/>
        </w:rPr>
        <w:footnoteReference w:id="44"/>
      </w:r>
    </w:p>
    <w:p w:rsidR="00C43638" w:rsidRPr="00DD0783" w:rsidRDefault="00C43638" w:rsidP="00E71C56">
      <w:pPr>
        <w:pStyle w:val="ListParagraph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 xml:space="preserve">w tym dostępności dla osób z niepełnosprawnościami oraz zasady równości szans kobiet i mężczyzn w ramach </w:t>
      </w:r>
      <w:r w:rsidRPr="00782A35">
        <w:rPr>
          <w:rFonts w:cs="Arial"/>
          <w:i/>
        </w:rPr>
        <w:lastRenderedPageBreak/>
        <w:t>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FootnoteReference"/>
          <w:rFonts w:cs="Arial"/>
          <w:iCs/>
        </w:rPr>
        <w:footnoteReference w:id="45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ListParagraph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FootnoteReference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:rsidR="00A23F3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FootnoteReference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FootnoteReference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A77673" w:rsidRPr="00746B7B" w:rsidRDefault="0022532B" w:rsidP="00746B7B">
      <w:pPr>
        <w:pStyle w:val="ListParagraph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ListParagraph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ListParagraph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ListParagraph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ListParagraph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0E298A" w:rsidRPr="00D109AA" w:rsidRDefault="000F7BCE" w:rsidP="00B43F6B">
      <w:pPr>
        <w:pStyle w:val="ListParagraph"/>
        <w:numPr>
          <w:ilvl w:val="0"/>
          <w:numId w:val="9"/>
        </w:numPr>
        <w:spacing w:after="0"/>
        <w:jc w:val="both"/>
      </w:pPr>
      <w:r>
        <w:lastRenderedPageBreak/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:rsidR="00A3315B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:rsidR="000E298A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:rsidR="000E298A" w:rsidRDefault="005C51F6" w:rsidP="000E298A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:rsidR="001B7507" w:rsidRPr="00DD0783" w:rsidRDefault="001B7507" w:rsidP="00E0122E">
      <w:pPr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FootnoteReference"/>
        </w:rPr>
        <w:footnoteReference w:id="49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FootnoteReference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FootnoteReference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lastRenderedPageBreak/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lastRenderedPageBreak/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FootnoteReference"/>
          <w:b/>
        </w:rPr>
        <w:footnoteReference w:id="54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FootnoteReference"/>
        </w:rPr>
        <w:footnoteReference w:id="55"/>
      </w:r>
      <w:r w:rsidRPr="00DD0783">
        <w:t>.</w:t>
      </w:r>
    </w:p>
    <w:p w:rsidR="006B4515" w:rsidRPr="00DD0783" w:rsidRDefault="006B4515" w:rsidP="003B2988">
      <w:pPr>
        <w:pStyle w:val="ListParagraph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ListParagraph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ListParagraph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FootnoteReference"/>
        </w:rPr>
        <w:footnoteReference w:id="56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FootnoteReference"/>
          <w:u w:val="single"/>
        </w:rPr>
        <w:footnoteReference w:id="57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</w:t>
      </w:r>
      <w:r w:rsidRPr="00DD0783">
        <w:lastRenderedPageBreak/>
        <w:t xml:space="preserve">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FootnoteReference"/>
          <w:u w:val="single"/>
        </w:rPr>
        <w:footnoteReference w:id="58"/>
      </w:r>
      <w:r w:rsidRPr="00DD0783">
        <w:t>.</w:t>
      </w:r>
    </w:p>
    <w:p w:rsidR="005953E3" w:rsidRDefault="005953E3" w:rsidP="004F19B4">
      <w:pPr>
        <w:pStyle w:val="ListParagraph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ListParagraph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835E34" w:rsidRPr="004F19B4" w:rsidRDefault="00835E34" w:rsidP="004F19B4">
      <w:pPr>
        <w:pStyle w:val="ListParagraph"/>
        <w:numPr>
          <w:ilvl w:val="0"/>
          <w:numId w:val="5"/>
        </w:numPr>
        <w:jc w:val="both"/>
      </w:pPr>
      <w:r w:rsidRPr="004F19B4">
        <w:t>Wydatki wykraczające poza zakres rzeczowy ustalony z wojewodą dolnośląskim i</w:t>
      </w:r>
      <w:r w:rsidR="00B90C4B">
        <w:t> </w:t>
      </w:r>
      <w:r w:rsidRPr="004F19B4">
        <w:t>wojewódzkim konsultantem ds. chorób zakaźnych</w:t>
      </w:r>
      <w:r w:rsidR="00B90C4B" w:rsidRPr="004F19B4">
        <w:t>.</w:t>
      </w:r>
    </w:p>
    <w:p w:rsidR="006B4515" w:rsidRDefault="006B4515" w:rsidP="003B2988">
      <w:pPr>
        <w:pStyle w:val="ListParagraph"/>
        <w:jc w:val="both"/>
      </w:pPr>
    </w:p>
    <w:p w:rsidR="004F19B4" w:rsidRPr="00DD0783" w:rsidRDefault="004F19B4" w:rsidP="003B2988">
      <w:pPr>
        <w:pStyle w:val="ListParagraph"/>
        <w:jc w:val="both"/>
      </w:pPr>
    </w:p>
    <w:p w:rsidR="00A23F33" w:rsidRPr="00DD0783" w:rsidRDefault="00FD7775" w:rsidP="003B2988">
      <w:pPr>
        <w:pStyle w:val="ListParagraph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:rsidR="00042236" w:rsidRPr="00DD0783" w:rsidRDefault="00FC3DFA" w:rsidP="00E71C56">
      <w:pPr>
        <w:pStyle w:val="ListParagraph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FootnoteReference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:rsidR="00835141" w:rsidRPr="00DD0783" w:rsidRDefault="00835141" w:rsidP="00E71C56">
      <w:pPr>
        <w:pStyle w:val="ListParagraph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FootnoteReference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FootnoteReference"/>
        </w:rPr>
        <w:footnoteReference w:id="63"/>
      </w:r>
      <w:r w:rsidRPr="00DD0783">
        <w:t xml:space="preserve">) </w:t>
      </w:r>
      <w:bookmarkEnd w:id="20"/>
      <w:r w:rsidRPr="00DD0783">
        <w:rPr>
          <w:rStyle w:val="FootnoteReference"/>
        </w:rPr>
        <w:footnoteReference w:id="64"/>
      </w:r>
      <w:r w:rsidRPr="00DD0783">
        <w:t>.</w:t>
      </w:r>
    </w:p>
    <w:p w:rsidR="00A23F33" w:rsidRPr="00DD0783" w:rsidRDefault="00042236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FootnoteReference"/>
        </w:rPr>
        <w:footnoteReference w:id="65"/>
      </w:r>
      <w:r w:rsidR="00981291"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lastRenderedPageBreak/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FootnoteReference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FootnoteReference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FootnoteReference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FootnoteReference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:rsidR="00FA6BCC" w:rsidRPr="00DD0783" w:rsidRDefault="00FA6BCC" w:rsidP="00E71C56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FootnoteReference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FootnoteReference"/>
          <w:rFonts w:eastAsia="Times New Roman" w:cs="Times New Roman"/>
        </w:rPr>
        <w:footnoteReference w:id="73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FootnoteReference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lastRenderedPageBreak/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FootnoteReference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ListParagraph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ListParagraph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ListParagraph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</w:t>
      </w:r>
      <w:r w:rsidRPr="007C5B38">
        <w:rPr>
          <w:rFonts w:cs="Calibri"/>
        </w:rPr>
        <w:lastRenderedPageBreak/>
        <w:t>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lastRenderedPageBreak/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lastRenderedPageBreak/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EndnoteText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lastRenderedPageBreak/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lastRenderedPageBreak/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CommentReference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</w:t>
      </w:r>
      <w:r>
        <w:rPr>
          <w:rFonts w:cs="Calibri"/>
        </w:rPr>
        <w:lastRenderedPageBreak/>
        <w:t xml:space="preserve">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B0" w:rsidRDefault="006251B0" w:rsidP="00BA376B">
      <w:pPr>
        <w:spacing w:after="0" w:line="240" w:lineRule="auto"/>
      </w:pPr>
      <w:r>
        <w:separator/>
      </w:r>
    </w:p>
  </w:endnote>
  <w:endnote w:type="continuationSeparator" w:id="0">
    <w:p w:rsidR="006251B0" w:rsidRDefault="006251B0" w:rsidP="00BA376B">
      <w:pPr>
        <w:spacing w:after="0" w:line="240" w:lineRule="auto"/>
      </w:pPr>
      <w:r>
        <w:continuationSeparator/>
      </w:r>
    </w:p>
  </w:endnote>
  <w:endnote w:type="continuationNotice" w:id="1">
    <w:p w:rsidR="006251B0" w:rsidRDefault="006251B0">
      <w:pPr>
        <w:spacing w:after="0" w:line="240" w:lineRule="auto"/>
      </w:pPr>
    </w:p>
  </w:endnote>
  <w:endnote w:id="2">
    <w:p w:rsidR="00DB4F2F" w:rsidRPr="002D3C6C" w:rsidRDefault="00DB4F2F" w:rsidP="00C5419D">
      <w:pPr>
        <w:pStyle w:val="EndnoteText"/>
        <w:jc w:val="both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732661"/>
      <w:docPartObj>
        <w:docPartGallery w:val="Page Numbers (Bottom of Page)"/>
        <w:docPartUnique/>
      </w:docPartObj>
    </w:sdtPr>
    <w:sdtContent>
      <w:p w:rsidR="00DB4F2F" w:rsidRDefault="00A20B34">
        <w:pPr>
          <w:pStyle w:val="Footer"/>
          <w:jc w:val="right"/>
        </w:pPr>
        <w:r>
          <w:fldChar w:fldCharType="begin"/>
        </w:r>
        <w:r w:rsidR="00DB4F2F">
          <w:instrText xml:space="preserve"> PAGE   \* MERGEFORMAT </w:instrText>
        </w:r>
        <w:r>
          <w:fldChar w:fldCharType="separate"/>
        </w:r>
        <w:r w:rsidR="00E1638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B4F2F" w:rsidRDefault="00DB4F2F" w:rsidP="00DC4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B0" w:rsidRDefault="006251B0" w:rsidP="00BA376B">
      <w:pPr>
        <w:spacing w:after="0" w:line="240" w:lineRule="auto"/>
      </w:pPr>
      <w:r>
        <w:separator/>
      </w:r>
    </w:p>
  </w:footnote>
  <w:footnote w:type="continuationSeparator" w:id="0">
    <w:p w:rsidR="006251B0" w:rsidRDefault="006251B0" w:rsidP="00BA376B">
      <w:pPr>
        <w:spacing w:after="0" w:line="240" w:lineRule="auto"/>
      </w:pPr>
      <w:r>
        <w:continuationSeparator/>
      </w:r>
    </w:p>
  </w:footnote>
  <w:footnote w:type="continuationNotice" w:id="1">
    <w:p w:rsidR="006251B0" w:rsidRDefault="006251B0">
      <w:pPr>
        <w:spacing w:after="0" w:line="240" w:lineRule="auto"/>
      </w:pPr>
    </w:p>
  </w:footnote>
  <w:footnote w:id="2">
    <w:p w:rsidR="00DB4F2F" w:rsidRPr="00013AFB" w:rsidRDefault="00DB4F2F" w:rsidP="00B211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:rsidR="00DB4F2F" w:rsidRDefault="00DB4F2F" w:rsidP="009E58A1">
      <w:pPr>
        <w:pStyle w:val="FootnoteText"/>
        <w:jc w:val="both"/>
      </w:pPr>
      <w:r w:rsidRPr="00C40B9D">
        <w:rPr>
          <w:rStyle w:val="FootnoteReference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:rsidR="00DB4F2F" w:rsidRPr="00013AFB" w:rsidRDefault="00DB4F2F" w:rsidP="007F246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Termin umowa oznacza również inne dokumenty będące podstawą dofinansowania projektu, np. uchwałę czy porozumienie.</w:t>
      </w:r>
    </w:p>
    <w:p w:rsidR="00DB4F2F" w:rsidRPr="00013AFB" w:rsidRDefault="00DB4F2F" w:rsidP="00013AFB">
      <w:pPr>
        <w:pStyle w:val="FootnoteText"/>
        <w:jc w:val="both"/>
        <w:rPr>
          <w:b/>
        </w:rPr>
      </w:pPr>
    </w:p>
  </w:footnote>
  <w:footnote w:id="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do dnia 26.10.2016 r. Dla pozostałych konkursów – zapis nieobowiązujący.</w:t>
      </w:r>
    </w:p>
    <w:p w:rsidR="00DB4F2F" w:rsidRPr="00013AFB" w:rsidRDefault="00DB4F2F">
      <w:pPr>
        <w:pStyle w:val="FootnoteText"/>
      </w:pPr>
    </w:p>
  </w:footnote>
  <w:footnote w:id="7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Dla konkursów ogłoszonych przed 29.06.2016 r. – dotyczy odpowiednio 1.4 C i 1.4 D.</w:t>
      </w:r>
    </w:p>
  </w:footnote>
  <w:footnote w:id="9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26.09.2016 r. do dnia 20.11.2016 r. Dla pozostałych konkursów – zapis nieobowiązujący.</w:t>
      </w:r>
    </w:p>
  </w:footnote>
  <w:footnote w:id="12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naborów do działania 1.1 ogłaszanych od października 2019 r. </w:t>
      </w:r>
    </w:p>
  </w:footnote>
  <w:footnote w:id="14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przed 16.01.2017 r. Dla konkursów ogłaszanych od dnia 16.01.2017 r. – zapis nieobowiązujący.</w:t>
      </w:r>
    </w:p>
  </w:footnote>
  <w:footnote w:id="15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 xml:space="preserve">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:rsidR="00DB4F2F" w:rsidRPr="00013AFB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:rsidR="00DB4F2F" w:rsidRPr="002E11F5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:rsidR="00DB4F2F" w:rsidRPr="00013AFB" w:rsidRDefault="00DB4F2F" w:rsidP="00013AFB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5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28.12.2015 r. Dla konkursów ogłaszanych przed 28.12.2015 r. – zapis nieobowiązujący.</w:t>
      </w:r>
    </w:p>
  </w:footnote>
  <w:footnote w:id="27">
    <w:p w:rsidR="00DB4F2F" w:rsidRPr="00013AFB" w:rsidRDefault="00DB4F2F" w:rsidP="00B46B35">
      <w:pPr>
        <w:pStyle w:val="FootnoteText"/>
        <w:jc w:val="both"/>
      </w:pPr>
      <w:r w:rsidRPr="002F4911">
        <w:rPr>
          <w:rStyle w:val="FootnoteReference"/>
        </w:rPr>
        <w:footnoteRef/>
      </w:r>
      <w:r w:rsidRPr="002F4911">
        <w:t xml:space="preserve"> </w:t>
      </w:r>
      <w:r w:rsidRPr="002F4911">
        <w:t>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:rsidR="00DB4F2F" w:rsidRPr="00013AFB" w:rsidRDefault="00DB4F2F">
      <w:pPr>
        <w:pStyle w:val="FootnoteText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9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32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3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25.01.2016 r. Dla konkursów ogłaszanych od dnia 25.01.2016 r. – zapis nieobowiązujący. </w:t>
      </w:r>
    </w:p>
  </w:footnote>
  <w:footnote w:id="34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5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6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7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> </w:t>
      </w:r>
      <w:r w:rsidRPr="00013AFB">
        <w:t>Dotyczy konkursów ogłaszanych od dnia 28.12.2015 r. Dla konkursów ogłaszanych przed 28.12.2015 r. – zapis nieobowiązujący.</w:t>
      </w:r>
    </w:p>
  </w:footnote>
  <w:footnote w:id="38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9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:rsidR="00DB4F2F" w:rsidRDefault="00DB4F2F" w:rsidP="00E0122E">
      <w:pPr>
        <w:pStyle w:val="FootnoteText"/>
        <w:tabs>
          <w:tab w:val="left" w:pos="5490"/>
        </w:tabs>
      </w:pPr>
      <w:r>
        <w:rPr>
          <w:rStyle w:val="FootnoteReference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przed 23.05.2016 r. Dla konkursów ogłaszanych od dnia 23.05.2016 r. – zapis nieobowiązujący.</w:t>
      </w:r>
    </w:p>
  </w:footnote>
  <w:footnote w:id="4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25.07.2018 r.</w:t>
      </w:r>
    </w:p>
  </w:footnote>
  <w:footnote w:id="4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Nie dotyczy typu 3.3 d </w:t>
      </w:r>
      <w:r>
        <w:rPr>
          <w:rFonts w:cs="Arial"/>
        </w:rPr>
        <w:t>Wsparcie za pomocą instrumentów finansowych</w:t>
      </w:r>
    </w:p>
  </w:footnote>
  <w:footnote w:id="44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:rsidR="00DB4F2F" w:rsidRPr="00BF181E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:rsidR="00DB4F2F" w:rsidRPr="00013AFB" w:rsidRDefault="00DB4F2F">
      <w:pPr>
        <w:pStyle w:val="FootnoteText"/>
      </w:pPr>
      <w:r w:rsidRPr="00BF181E">
        <w:rPr>
          <w:rStyle w:val="FootnoteReference"/>
        </w:rPr>
        <w:footnoteRef/>
      </w:r>
      <w:r w:rsidRPr="00BF181E">
        <w:t xml:space="preserve"> </w:t>
      </w:r>
      <w:r w:rsidRPr="00BF181E">
        <w:t>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55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8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:rsidR="00DB4F2F" w:rsidRPr="00042236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:rsidR="00DB4F2F" w:rsidRPr="00042236" w:rsidRDefault="00DB4F2F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26.09.2016 r. Dla konkursów ogłaszanych przed 26.09.2016 r. – zapis nieobowiązujący</w:t>
      </w:r>
    </w:p>
  </w:footnote>
  <w:footnote w:id="63">
    <w:p w:rsidR="00DB4F2F" w:rsidRPr="00042236" w:rsidRDefault="00DB4F2F" w:rsidP="00F2036F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:rsidR="00DB4F2F" w:rsidRPr="00042236" w:rsidRDefault="00DB4F2F" w:rsidP="00835141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:rsidR="00DB4F2F" w:rsidRPr="00042236" w:rsidRDefault="00DB4F2F" w:rsidP="00A23F33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Za wyjątkiem zakupu placu zabaw</w:t>
      </w:r>
      <w:r>
        <w:t>.</w:t>
      </w:r>
    </w:p>
  </w:footnote>
  <w:footnote w:id="68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:rsidR="00DB4F2F" w:rsidRPr="00013AFB" w:rsidRDefault="00DB4F2F" w:rsidP="00A23F33">
      <w:pPr>
        <w:pStyle w:val="FootnoteText"/>
        <w:jc w:val="both"/>
      </w:pPr>
      <w:r w:rsidRPr="00042236">
        <w:rPr>
          <w:rStyle w:val="FootnoteReference"/>
          <w:color w:val="000000" w:themeColor="text1"/>
        </w:rPr>
        <w:footnoteRef/>
      </w:r>
      <w:r w:rsidRPr="00042236">
        <w:rPr>
          <w:color w:val="000000" w:themeColor="text1"/>
        </w:rPr>
        <w:t xml:space="preserve"> </w:t>
      </w:r>
      <w:r w:rsidRPr="00042236">
        <w:rPr>
          <w:color w:val="000000" w:themeColor="text1"/>
        </w:rPr>
        <w:t xml:space="preserve">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:rsidR="00DB4F2F" w:rsidRDefault="00DB4F2F" w:rsidP="00A73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2F" w:rsidRDefault="00DB4F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3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4"/>
  </w:num>
  <w:num w:numId="5">
    <w:abstractNumId w:val="1"/>
  </w:num>
  <w:num w:numId="6">
    <w:abstractNumId w:val="16"/>
  </w:num>
  <w:num w:numId="7">
    <w:abstractNumId w:val="0"/>
  </w:num>
  <w:num w:numId="8">
    <w:abstractNumId w:val="11"/>
  </w:num>
  <w:num w:numId="9">
    <w:abstractNumId w:val="37"/>
  </w:num>
  <w:num w:numId="10">
    <w:abstractNumId w:val="25"/>
  </w:num>
  <w:num w:numId="11">
    <w:abstractNumId w:val="18"/>
  </w:num>
  <w:num w:numId="12">
    <w:abstractNumId w:val="17"/>
  </w:num>
  <w:num w:numId="13">
    <w:abstractNumId w:val="35"/>
  </w:num>
  <w:num w:numId="14">
    <w:abstractNumId w:val="9"/>
  </w:num>
  <w:num w:numId="15">
    <w:abstractNumId w:val="29"/>
  </w:num>
  <w:num w:numId="16">
    <w:abstractNumId w:val="33"/>
  </w:num>
  <w:num w:numId="17">
    <w:abstractNumId w:val="31"/>
  </w:num>
  <w:num w:numId="18">
    <w:abstractNumId w:val="36"/>
  </w:num>
  <w:num w:numId="19">
    <w:abstractNumId w:val="23"/>
  </w:num>
  <w:num w:numId="20">
    <w:abstractNumId w:val="14"/>
  </w:num>
  <w:num w:numId="21">
    <w:abstractNumId w:val="7"/>
  </w:num>
  <w:num w:numId="22">
    <w:abstractNumId w:val="2"/>
  </w:num>
  <w:num w:numId="23">
    <w:abstractNumId w:val="28"/>
  </w:num>
  <w:num w:numId="24">
    <w:abstractNumId w:val="34"/>
  </w:num>
  <w:num w:numId="25">
    <w:abstractNumId w:val="8"/>
  </w:num>
  <w:num w:numId="26">
    <w:abstractNumId w:val="32"/>
  </w:num>
  <w:num w:numId="27">
    <w:abstractNumId w:val="15"/>
  </w:num>
  <w:num w:numId="28">
    <w:abstractNumId w:val="19"/>
  </w:num>
  <w:num w:numId="29">
    <w:abstractNumId w:val="40"/>
  </w:num>
  <w:num w:numId="30">
    <w:abstractNumId w:val="39"/>
  </w:num>
  <w:num w:numId="31">
    <w:abstractNumId w:val="0"/>
  </w:num>
  <w:num w:numId="32">
    <w:abstractNumId w:val="10"/>
  </w:num>
  <w:num w:numId="33">
    <w:abstractNumId w:val="26"/>
  </w:num>
  <w:num w:numId="34">
    <w:abstractNumId w:val="6"/>
  </w:num>
  <w:num w:numId="35">
    <w:abstractNumId w:val="30"/>
  </w:num>
  <w:num w:numId="36">
    <w:abstractNumId w:val="41"/>
  </w:num>
  <w:num w:numId="37">
    <w:abstractNumId w:val="20"/>
  </w:num>
  <w:num w:numId="38">
    <w:abstractNumId w:val="27"/>
  </w:num>
  <w:num w:numId="39">
    <w:abstractNumId w:val="22"/>
  </w:num>
  <w:num w:numId="40">
    <w:abstractNumId w:val="38"/>
  </w:num>
  <w:num w:numId="41">
    <w:abstractNumId w:val="21"/>
  </w:num>
  <w:num w:numId="42">
    <w:abstractNumId w:val="24"/>
  </w:num>
  <w:num w:numId="43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D89"/>
    <w:rsid w:val="00134C78"/>
    <w:rsid w:val="001360A7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5D3C"/>
    <w:rsid w:val="002B102C"/>
    <w:rsid w:val="002B4DBE"/>
    <w:rsid w:val="002B7AA0"/>
    <w:rsid w:val="002C3185"/>
    <w:rsid w:val="002C50D4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7A9A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D2944"/>
    <w:rsid w:val="004D36A9"/>
    <w:rsid w:val="004D6239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251B0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7B00"/>
    <w:rsid w:val="00763C29"/>
    <w:rsid w:val="007668E1"/>
    <w:rsid w:val="007677DB"/>
    <w:rsid w:val="00771350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4767"/>
    <w:rsid w:val="0089612D"/>
    <w:rsid w:val="00897BAD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F27E5"/>
    <w:rsid w:val="008F353D"/>
    <w:rsid w:val="008F410E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0B34"/>
    <w:rsid w:val="00A23B72"/>
    <w:rsid w:val="00A23F33"/>
    <w:rsid w:val="00A26918"/>
    <w:rsid w:val="00A30802"/>
    <w:rsid w:val="00A30804"/>
    <w:rsid w:val="00A324DC"/>
    <w:rsid w:val="00A326B2"/>
    <w:rsid w:val="00A32D90"/>
    <w:rsid w:val="00A3315B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05D0B"/>
    <w:rsid w:val="00B121F8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63B1"/>
    <w:rsid w:val="00B63C7D"/>
    <w:rsid w:val="00B64C19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4DF9"/>
    <w:rsid w:val="00D71A33"/>
    <w:rsid w:val="00D82006"/>
    <w:rsid w:val="00D82864"/>
    <w:rsid w:val="00D82B9D"/>
    <w:rsid w:val="00D84095"/>
    <w:rsid w:val="00D908D7"/>
    <w:rsid w:val="00D9091B"/>
    <w:rsid w:val="00D93AD2"/>
    <w:rsid w:val="00D96163"/>
    <w:rsid w:val="00D962FC"/>
    <w:rsid w:val="00D96C9F"/>
    <w:rsid w:val="00D978BD"/>
    <w:rsid w:val="00DA2D40"/>
    <w:rsid w:val="00DA4896"/>
    <w:rsid w:val="00DA6196"/>
    <w:rsid w:val="00DB22A0"/>
    <w:rsid w:val="00DB3EEB"/>
    <w:rsid w:val="00DB4F2F"/>
    <w:rsid w:val="00DB74FC"/>
    <w:rsid w:val="00DC0D5F"/>
    <w:rsid w:val="00DC344B"/>
    <w:rsid w:val="00DC41A5"/>
    <w:rsid w:val="00DC5B91"/>
    <w:rsid w:val="00DC7B18"/>
    <w:rsid w:val="00DD0783"/>
    <w:rsid w:val="00DD09FB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382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AF1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34"/>
  </w:style>
  <w:style w:type="paragraph" w:styleId="Heading1">
    <w:name w:val="heading 1"/>
    <w:basedOn w:val="Normal"/>
    <w:next w:val="Normal"/>
    <w:link w:val="Heading1Char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76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C1"/>
  </w:style>
  <w:style w:type="paragraph" w:styleId="Footer">
    <w:name w:val="footer"/>
    <w:basedOn w:val="Normal"/>
    <w:link w:val="Foot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C1"/>
  </w:style>
  <w:style w:type="paragraph" w:styleId="ListParagraph">
    <w:name w:val="List Paragraph"/>
    <w:basedOn w:val="Normal"/>
    <w:link w:val="ListParagraphChar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8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64"/>
    <w:rPr>
      <w:b/>
      <w:bCs/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420900"/>
    <w:rPr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42090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uiPriority w:val="34"/>
    <w:rsid w:val="00A23F33"/>
  </w:style>
  <w:style w:type="paragraph" w:styleId="PlainText">
    <w:name w:val="Plain Text"/>
    <w:basedOn w:val="Normal"/>
    <w:link w:val="PlainTextChar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Heading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F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5F4B"/>
    <w:rPr>
      <w:vertAlign w:val="superscript"/>
    </w:rPr>
  </w:style>
  <w:style w:type="table" w:styleId="TableGrid">
    <w:name w:val="Table Grid"/>
    <w:basedOn w:val="TableNormal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414AD-9D8E-4002-BB9E-8BAF4063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9673</Words>
  <Characters>58042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Zach Ar</cp:lastModifiedBy>
  <cp:revision>2</cp:revision>
  <cp:lastPrinted>2020-03-13T08:23:00Z</cp:lastPrinted>
  <dcterms:created xsi:type="dcterms:W3CDTF">2020-06-30T21:15:00Z</dcterms:created>
  <dcterms:modified xsi:type="dcterms:W3CDTF">2020-06-30T21:15:00Z</dcterms:modified>
</cp:coreProperties>
</file>