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741" w:rsidRPr="009F303C" w:rsidRDefault="00B71741" w:rsidP="0051723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Arial"/>
          <w:sz w:val="24"/>
          <w:szCs w:val="20"/>
          <w:lang w:eastAsia="en-US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7 do Szczegółowego opisu osi priorytetowych RPO WD 2014-2020 </w:t>
      </w:r>
      <w:r w:rsidR="00052D63">
        <w:rPr>
          <w:rFonts w:cs="Arial"/>
          <w:sz w:val="20"/>
          <w:szCs w:val="20"/>
          <w:lang w:eastAsia="en-US"/>
        </w:rPr>
        <w:t>z dn.</w:t>
      </w:r>
      <w:r w:rsidR="00277C45">
        <w:rPr>
          <w:rFonts w:cs="Arial"/>
          <w:sz w:val="20"/>
          <w:szCs w:val="20"/>
          <w:lang w:eastAsia="en-US"/>
        </w:rPr>
        <w:t xml:space="preserve"> </w:t>
      </w:r>
      <w:r w:rsidR="00E57899">
        <w:rPr>
          <w:rFonts w:cs="Arial"/>
          <w:sz w:val="20"/>
          <w:szCs w:val="20"/>
          <w:lang w:eastAsia="en-US"/>
        </w:rPr>
        <w:t>29 wrzesień 2020 r.</w:t>
      </w:r>
      <w:bookmarkStart w:id="0" w:name="_GoBack"/>
      <w:bookmarkEnd w:id="0"/>
    </w:p>
    <w:p w:rsidR="00BA376B" w:rsidRPr="00DD0783" w:rsidRDefault="00BA376B" w:rsidP="00C10F6C">
      <w:pPr>
        <w:spacing w:after="0" w:line="240" w:lineRule="auto"/>
        <w:ind w:left="5103"/>
        <w:jc w:val="both"/>
      </w:pPr>
    </w:p>
    <w:p w:rsidR="00BA376B" w:rsidRPr="00DD0783" w:rsidRDefault="00BA376B" w:rsidP="00C10F6C">
      <w:pPr>
        <w:spacing w:line="240" w:lineRule="auto"/>
        <w:jc w:val="both"/>
      </w:pPr>
    </w:p>
    <w:p w:rsidR="00BA376B" w:rsidRPr="00DD0783" w:rsidRDefault="00BA376B" w:rsidP="00C10F6C">
      <w:pPr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2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  <w:bookmarkEnd w:id="2"/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:rsidR="00BA376B" w:rsidRPr="00DD0783" w:rsidRDefault="00AC4264" w:rsidP="003C3DD4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335251" w:rsidRPr="009A5E66">
        <w:rPr>
          <w:rFonts w:asciiTheme="minorHAnsi" w:hAnsiTheme="minorHAnsi"/>
          <w:sz w:val="22"/>
          <w:szCs w:val="22"/>
        </w:rPr>
        <w:t xml:space="preserve">Inwestycji i </w:t>
      </w:r>
      <w:r w:rsidRPr="009A5E66">
        <w:rPr>
          <w:rFonts w:asciiTheme="minorHAnsi" w:hAnsiTheme="minorHAnsi"/>
          <w:sz w:val="22"/>
          <w:szCs w:val="22"/>
        </w:rPr>
        <w:t>Rozwoj</w:t>
      </w:r>
      <w:r w:rsidR="00870C75" w:rsidRPr="009A5E66">
        <w:rPr>
          <w:rFonts w:asciiTheme="minorHAnsi" w:hAnsiTheme="minorHAnsi"/>
          <w:sz w:val="22"/>
          <w:szCs w:val="22"/>
        </w:rPr>
        <w:t>u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Euratom)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Euratom) nr 966/2012 (Dz. Urz. UE L 193 z 30.07.2018, str. 222), </w:t>
      </w:r>
    </w:p>
    <w:p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:rsidR="000906B8" w:rsidRPr="00DD0783" w:rsidRDefault="00394D81" w:rsidP="000906B8">
      <w:pPr>
        <w:tabs>
          <w:tab w:val="left" w:pos="5330"/>
        </w:tabs>
        <w:spacing w:line="240" w:lineRule="auto"/>
        <w:jc w:val="both"/>
      </w:pPr>
      <w:r>
        <w:t>c</w:t>
      </w:r>
      <w:r w:rsidR="000906B8" w:rsidRPr="00DD0783">
        <w:t>) rozporządzeniem Parlamentu Europejskiego i Rady (UE) nr 1301/2013 z dnia 17 grudnia 2013 r. w sprawie Europejskiego Funduszu Rozwoju Regionalnego</w:t>
      </w:r>
      <w:r w:rsidR="000906B8" w:rsidRPr="00DD0783">
        <w:rPr>
          <w:rFonts w:cs="Arial"/>
          <w:color w:val="000000"/>
        </w:rPr>
        <w:t xml:space="preserve"> </w:t>
      </w:r>
      <w:r w:rsidR="000906B8"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="000906B8" w:rsidRPr="00DD0783">
        <w:t xml:space="preserve">„rozporządzenie EFRR”], </w:t>
      </w:r>
    </w:p>
    <w:p w:rsidR="000906B8" w:rsidRPr="00DD0783" w:rsidRDefault="00394D81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906B8" w:rsidRPr="00DD0783">
        <w:rPr>
          <w:rFonts w:asciiTheme="minorHAnsi" w:hAnsiTheme="minorHAnsi"/>
          <w:sz w:val="22"/>
          <w:szCs w:val="22"/>
        </w:rPr>
        <w:t>) „</w:t>
      </w:r>
      <w:r w:rsidR="000906B8"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="000906B8"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>”].</w:t>
      </w:r>
    </w:p>
    <w:p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Rozwoju</w:t>
      </w:r>
      <w:r w:rsidR="003F6BB8" w:rsidRPr="00C40B9D">
        <w:rPr>
          <w:b/>
        </w:rPr>
        <w:t xml:space="preserve"> i Finansów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poszczególnych kategorii wydatków </w:t>
      </w:r>
      <w:bookmarkStart w:id="3" w:name="_Hlk520107836"/>
      <w:r w:rsidR="00AB3866" w:rsidRPr="00C40B9D">
        <w:rPr>
          <w:b/>
        </w:rPr>
        <w:t xml:space="preserve">finansowanych z EFRR – </w:t>
      </w:r>
      <w:bookmarkEnd w:id="3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4" w:name="_Hlk491428855"/>
      <w:r>
        <w:rPr>
          <w:rFonts w:asciiTheme="minorHAnsi" w:hAnsiTheme="minorHAnsi"/>
          <w:i/>
          <w:iCs/>
          <w:sz w:val="22"/>
          <w:szCs w:val="22"/>
        </w:rPr>
        <w:lastRenderedPageBreak/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4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5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5"/>
    <w:p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6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6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F22C1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:rsidR="00122E9E" w:rsidRPr="00DD0783" w:rsidRDefault="005953E3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4F19B4">
        <w:lastRenderedPageBreak/>
        <w:t>W przypadku projektów  dotyczących inwestycji skierowanych na poprawę sytuacji epidemiologicznej w związku z koronawirusem (typ 6.2.</w:t>
      </w:r>
      <w:r w:rsidR="00EF14EA">
        <w:t>C</w:t>
      </w:r>
      <w:r w:rsidRPr="004F19B4">
        <w:t xml:space="preserve">) </w:t>
      </w:r>
      <w:r w:rsidR="006F22C1" w:rsidRPr="00806B66">
        <w:t>nie mają zastosowania poniższe zapisy , które są niezgodne z zapisami ustawy</w:t>
      </w:r>
      <w:r w:rsidR="006F22C1">
        <w:rPr>
          <w:rFonts w:ascii="Calibri" w:hAnsi="Calibri" w:cs="Arial"/>
        </w:rPr>
        <w:t xml:space="preserve"> z dnia 2 marca 2020 r.</w:t>
      </w:r>
      <w:r w:rsidR="006F22C1" w:rsidRPr="00C35A34">
        <w:rPr>
          <w:rFonts w:ascii="Calibri" w:hAnsi="Calibri" w:cs="Arial"/>
        </w:rPr>
        <w:t xml:space="preserve"> o szczególnych rozwiązaniach związanych z zapobieganiem, przeciwdziałaniem i zwalczaniem COVID-19, innych chorób zakaźnych oraz wywołanych nimi sytuacji kryzysowych</w:t>
      </w:r>
      <w:r w:rsidR="006F22C1">
        <w:rPr>
          <w:rFonts w:ascii="Calibri" w:hAnsi="Calibri" w:cs="Arial"/>
        </w:rPr>
        <w:t>.</w:t>
      </w:r>
    </w:p>
    <w:p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3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4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6456"/>
      </w:tblGrid>
      <w:tr w:rsidR="00A23F33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lastRenderedPageBreak/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2020. </w:t>
            </w:r>
          </w:p>
          <w:p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</w:t>
            </w:r>
            <w:r w:rsidR="00EF14EA">
              <w:rPr>
                <w:rStyle w:val="Odwoanieprzypisudolnego"/>
              </w:rPr>
              <w:footnoteReference w:id="5"/>
            </w:r>
            <w:r w:rsidRPr="00DD0783">
              <w:t>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 xml:space="preserve"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</w:t>
            </w:r>
            <w:r w:rsidRPr="00DD0783">
              <w:lastRenderedPageBreak/>
              <w:t>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na ubezpieczenie nieobowiązkowe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6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:rsidR="00A23F33" w:rsidRPr="00DD078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Odwoanieprzypisudolnego"/>
                <w:b/>
              </w:rPr>
              <w:footnoteReference w:id="7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lastRenderedPageBreak/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Odwoanieprzypisudolnego"/>
              </w:rPr>
              <w:footnoteReference w:id="8"/>
            </w:r>
            <w:r w:rsidR="00B46B35" w:rsidRPr="00DD0783">
              <w:t>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Odwoanieprzypisudolnego"/>
                <w:b/>
              </w:rPr>
              <w:footnoteReference w:id="10"/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Rezerwa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t>Zakup gruntu</w:t>
            </w:r>
            <w:r w:rsidRPr="007668E1"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:rsidR="00A26918" w:rsidRDefault="00A26918" w:rsidP="003B2988">
      <w:pPr>
        <w:jc w:val="both"/>
        <w:rPr>
          <w:b/>
        </w:rPr>
      </w:pPr>
    </w:p>
    <w:p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2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:rsidR="00A23F33" w:rsidRPr="00CD30E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:rsidR="00144BB9" w:rsidRPr="00DD0783" w:rsidRDefault="00144BB9" w:rsidP="00E71C56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</w:rPr>
        <w:t>Podatek VAT</w:t>
      </w:r>
      <w:r w:rsidR="00703557">
        <w:rPr>
          <w:rStyle w:val="Odwoanieprzypisudolnego"/>
          <w:rFonts w:eastAsia="Times New Roman" w:cs="Times New Roman"/>
        </w:rPr>
        <w:footnoteReference w:id="13"/>
      </w:r>
      <w:r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>.</w:t>
      </w:r>
    </w:p>
    <w:p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6"/>
      </w:r>
      <w:r w:rsidR="00DD5F4B" w:rsidRPr="00DD0783">
        <w:rPr>
          <w:rStyle w:val="Odwoanieprzypisukocowego"/>
        </w:rPr>
        <w:endnoteReference w:id="2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:rsidR="00DD5F4B" w:rsidRPr="00DD0783" w:rsidRDefault="00DD5F4B" w:rsidP="003B2988">
      <w:pPr>
        <w:pStyle w:val="Akapitzlist"/>
        <w:spacing w:after="0"/>
        <w:jc w:val="both"/>
      </w:pPr>
    </w:p>
    <w:p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8"/>
      </w:r>
      <w:r w:rsidRPr="00DD0783">
        <w:rPr>
          <w:rFonts w:eastAsia="Times New Roman" w:cs="Times New Roman"/>
        </w:rPr>
        <w:t xml:space="preserve">. </w:t>
      </w:r>
    </w:p>
    <w:p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9" w:name="_Hlk492640902"/>
      <w:r w:rsidRPr="00DD0783">
        <w:rPr>
          <w:rFonts w:eastAsia="Times New Roman" w:cs="Times New Roman"/>
        </w:rPr>
        <w:lastRenderedPageBreak/>
        <w:t>Wydatki na budowę, przebudowę, odbudowę, rozbudowę, nadbudowę obiektu budowlanego przekraczające 50% całkowitych wydatków kwalifikowalnych projektu</w:t>
      </w:r>
      <w:bookmarkEnd w:id="9"/>
      <w:r w:rsidRPr="00DD0783">
        <w:rPr>
          <w:rFonts w:eastAsia="Times New Roman" w:cs="Times New Roman"/>
        </w:rPr>
        <w:t>.</w:t>
      </w:r>
    </w:p>
    <w:p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9"/>
      </w:r>
      <w:r w:rsidR="001213D3" w:rsidRPr="00DD0783">
        <w:t>.</w:t>
      </w:r>
    </w:p>
    <w:p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grantowego.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21"/>
      </w:r>
      <w:r w:rsidRPr="00DD0783">
        <w:rPr>
          <w:rFonts w:cs="Arial"/>
        </w:rPr>
        <w:t>.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22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Wydatki na wynagrodzenia będące efektem tworzenia nowych miejsc pracy.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1" w:name="_Toc194291240"/>
      <w:bookmarkStart w:id="12" w:name="_Toc209405135"/>
      <w:r w:rsidR="00A23F33" w:rsidRPr="00DD0783">
        <w:rPr>
          <w:b/>
        </w:rPr>
        <w:t xml:space="preserve"> </w:t>
      </w:r>
      <w:bookmarkEnd w:id="11"/>
      <w:bookmarkEnd w:id="12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24"/>
      </w:r>
      <w:r w:rsidRPr="00DD0783">
        <w:rPr>
          <w:rFonts w:eastAsiaTheme="majorEastAsia" w:cstheme="majorBidi"/>
          <w:bCs/>
        </w:rPr>
        <w:t>.</w:t>
      </w:r>
    </w:p>
    <w:p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5"/>
      </w:r>
      <w:r w:rsidRPr="00DD0783">
        <w:t>.</w:t>
      </w:r>
    </w:p>
    <w:p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lastRenderedPageBreak/>
        <w:t>Wydatki związane z działaniami informacyjno-promocyjnymi projektu</w:t>
      </w:r>
      <w:r w:rsidR="00BA34D4" w:rsidRPr="00DD0783">
        <w:rPr>
          <w:rStyle w:val="Odwoanieprzypisudolnego"/>
        </w:rPr>
        <w:footnoteReference w:id="26"/>
      </w:r>
      <w:r w:rsidRPr="00DD0783">
        <w:t>.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7"/>
      </w:r>
      <w:r w:rsidRPr="00DD0783">
        <w:rPr>
          <w:rFonts w:eastAsia="Times New Roman" w:cs="Times New Roman"/>
        </w:rPr>
        <w:t xml:space="preserve">). 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8"/>
      </w:r>
      <w:r w:rsidRPr="00DD0783">
        <w:t>.</w:t>
      </w:r>
    </w:p>
    <w:p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9"/>
      </w:r>
      <w:r w:rsidRPr="00DD0783">
        <w:rPr>
          <w:rFonts w:eastAsia="Times New Roman" w:cs="Times New Roman"/>
        </w:rPr>
        <w:t>.</w:t>
      </w:r>
    </w:p>
    <w:p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30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:rsidR="00214A63" w:rsidRPr="000B129E" w:rsidRDefault="00214A63" w:rsidP="001B7507">
      <w:pPr>
        <w:spacing w:after="0"/>
        <w:jc w:val="both"/>
        <w:rPr>
          <w:rFonts w:eastAsia="Times New Roman" w:cs="Times New Roman"/>
        </w:rPr>
      </w:pPr>
      <w:r w:rsidRPr="000B129E">
        <w:rPr>
          <w:rFonts w:eastAsia="Times New Roman" w:cs="Times New Roman"/>
        </w:rPr>
        <w:t>1.5 A</w:t>
      </w:r>
      <w:r w:rsidR="00AF3591" w:rsidRPr="000B129E">
        <w:rPr>
          <w:rStyle w:val="Odwoanieprzypisudolnego"/>
          <w:rFonts w:eastAsia="Times New Roman" w:cs="Times New Roman"/>
        </w:rPr>
        <w:footnoteReference w:id="31"/>
      </w:r>
      <w:r w:rsidRPr="000B129E">
        <w:rPr>
          <w:rFonts w:eastAsia="Times New Roman" w:cs="Times New Roman"/>
        </w:rPr>
        <w:t>:</w:t>
      </w:r>
    </w:p>
    <w:p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zakup </w:t>
      </w:r>
      <w:r w:rsidRPr="00D20920">
        <w:rPr>
          <w:rFonts w:ascii="Calibri" w:hAnsi="Calibri" w:cs="Calibri"/>
          <w:color w:val="000000"/>
        </w:rPr>
        <w:t xml:space="preserve"> ruchomych środków trwałych</w:t>
      </w:r>
      <w:r>
        <w:rPr>
          <w:rFonts w:ascii="Calibri" w:hAnsi="Calibri" w:cs="Calibri"/>
          <w:color w:val="000000"/>
        </w:rPr>
        <w:t>,</w:t>
      </w:r>
    </w:p>
    <w:p w:rsidR="000B129E" w:rsidRDefault="000B129E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</w:p>
    <w:p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lastRenderedPageBreak/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32"/>
      </w:r>
      <w:r w:rsidR="00176EB7" w:rsidRPr="00DD0783">
        <w:rPr>
          <w:rFonts w:eastAsia="Calibri"/>
        </w:rPr>
        <w:t>.</w:t>
      </w:r>
    </w:p>
    <w:p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Odwoanieprzypisudolnego"/>
        </w:rPr>
        <w:footnoteReference w:id="33"/>
      </w:r>
      <w:r w:rsidRPr="00DD0783">
        <w:t>.</w:t>
      </w:r>
    </w:p>
    <w:p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34"/>
      </w:r>
      <w:r w:rsidRPr="00DD0783">
        <w:rPr>
          <w:rFonts w:eastAsia="Times New Roman" w:cs="Times New Roman"/>
        </w:rPr>
        <w:t>.</w:t>
      </w:r>
    </w:p>
    <w:p w:rsidR="0089612D" w:rsidRPr="00DD0783" w:rsidRDefault="0089612D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35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6"/>
      </w:r>
      <w:r w:rsidRPr="00DD0783">
        <w:rPr>
          <w:rFonts w:eastAsia="TTE1ABE920t00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7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8"/>
      </w:r>
      <w:r w:rsidRPr="00DD0783">
        <w:t>.</w:t>
      </w:r>
    </w:p>
    <w:p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 xml:space="preserve">Wydatki na roboty budowlane nie związane bezpośrednio z poprawą efektywności energetycznej (np. nie wynikające z audytu, dot. remontu sanitariatów, zmiana układu </w:t>
      </w:r>
      <w:r w:rsidRPr="00DD0783">
        <w:rPr>
          <w:rFonts w:eastAsia="Times New Roman" w:cs="Times New Roman"/>
        </w:rPr>
        <w:lastRenderedPageBreak/>
        <w:t>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9"/>
      </w:r>
      <w:r w:rsidRPr="00DD0783">
        <w:rPr>
          <w:rFonts w:eastAsia="Times New Roman" w:cs="Times New Roman"/>
        </w:rPr>
        <w:t>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 w:rsidR="00FC0A69">
        <w:t xml:space="preserve"> Typ 3.3 e: niekwalifikowalne są </w:t>
      </w:r>
      <w:r w:rsidR="00880E60">
        <w:t xml:space="preserve">w całości </w:t>
      </w:r>
      <w:r w:rsidR="00FC0A69">
        <w:t xml:space="preserve">wszystkie </w:t>
      </w:r>
      <w:r w:rsidR="00880E60">
        <w:t xml:space="preserve">wymienione </w:t>
      </w:r>
      <w:r w:rsidR="00FC0A69">
        <w:t>wydatki</w:t>
      </w:r>
      <w:r w:rsidR="00880E60">
        <w:t xml:space="preserve"> na wymianę oświetlenia i urządzeń elektrycznych</w:t>
      </w:r>
      <w:r w:rsidR="001678D7">
        <w:rPr>
          <w:rStyle w:val="Odwoanieprzypisudolnego"/>
        </w:rPr>
        <w:footnoteReference w:id="40"/>
      </w:r>
      <w:r w:rsidR="00880E60">
        <w:t>.</w:t>
      </w:r>
    </w:p>
    <w:p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41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</w:t>
      </w:r>
      <w:r w:rsidR="008618B2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>(dla</w:t>
      </w:r>
      <w:r w:rsidR="00FC0A69">
        <w:rPr>
          <w:rFonts w:eastAsia="Times New Roman" w:cs="Times New Roman"/>
        </w:rPr>
        <w:t xml:space="preserve"> </w:t>
      </w:r>
      <w:r w:rsidR="00EE0968">
        <w:rPr>
          <w:rFonts w:eastAsia="Times New Roman" w:cs="Times New Roman"/>
        </w:rPr>
        <w:t>T</w:t>
      </w:r>
      <w:r w:rsidR="00FC0A69">
        <w:rPr>
          <w:rFonts w:eastAsia="Times New Roman" w:cs="Times New Roman"/>
        </w:rPr>
        <w:t>yp</w:t>
      </w:r>
      <w:r w:rsidR="00492E18">
        <w:rPr>
          <w:rFonts w:eastAsia="Times New Roman" w:cs="Times New Roman"/>
        </w:rPr>
        <w:t>u</w:t>
      </w:r>
      <w:r w:rsidR="00FC0A69">
        <w:rPr>
          <w:rFonts w:eastAsia="Times New Roman" w:cs="Times New Roman"/>
        </w:rPr>
        <w:t xml:space="preserve"> 3.3 e</w:t>
      </w:r>
      <w:r w:rsidR="00EE0968">
        <w:rPr>
          <w:rFonts w:eastAsia="Times New Roman" w:cs="Times New Roman"/>
        </w:rPr>
        <w:t>:</w:t>
      </w:r>
      <w:r w:rsidR="00FC0A69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 xml:space="preserve">usprawnienia dla osób niepełnosprawnych </w:t>
      </w:r>
      <w:r w:rsidR="00EE0968">
        <w:rPr>
          <w:rFonts w:eastAsia="Times New Roman" w:cs="Times New Roman"/>
        </w:rPr>
        <w:t xml:space="preserve">tylko do </w:t>
      </w:r>
      <w:r w:rsidR="00FC0A69">
        <w:rPr>
          <w:rFonts w:eastAsia="Times New Roman" w:cs="Times New Roman"/>
        </w:rPr>
        <w:t>10%</w:t>
      </w:r>
      <w:r w:rsidR="00EE0968">
        <w:rPr>
          <w:rFonts w:eastAsia="Times New Roman" w:cs="Times New Roman"/>
        </w:rPr>
        <w:t xml:space="preserve"> wydatków kwalifikowalnych w projekcie</w:t>
      </w:r>
      <w:r w:rsidR="008618B2">
        <w:rPr>
          <w:rFonts w:eastAsia="Times New Roman" w:cs="Times New Roman"/>
        </w:rPr>
        <w:t>)</w:t>
      </w:r>
      <w:r w:rsidR="00880E60">
        <w:rPr>
          <w:rFonts w:eastAsia="Times New Roman" w:cs="Times New Roman"/>
        </w:rPr>
        <w:t>.</w:t>
      </w:r>
    </w:p>
    <w:p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42"/>
      </w:r>
    </w:p>
    <w:p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:rsidR="00283995" w:rsidRDefault="00283995" w:rsidP="00880E60">
      <w:pPr>
        <w:pStyle w:val="Akapitzlist"/>
        <w:numPr>
          <w:ilvl w:val="0"/>
          <w:numId w:val="10"/>
        </w:numPr>
        <w:spacing w:after="0"/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Odwoanieprzypisudolnego"/>
        </w:rPr>
        <w:footnoteReference w:id="43"/>
      </w:r>
      <w:r>
        <w:t>.</w:t>
      </w:r>
    </w:p>
    <w:p w:rsidR="006D1FF9" w:rsidRDefault="0091185F" w:rsidP="00880E60">
      <w:pPr>
        <w:spacing w:after="0"/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</w:t>
      </w:r>
      <w:r w:rsidR="005A2D3C">
        <w:t> </w:t>
      </w:r>
      <w:r>
        <w:t>projekcie.</w:t>
      </w:r>
    </w:p>
    <w:p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:rsidR="009C18C1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:rsidR="00C43638" w:rsidRPr="00C43638" w:rsidRDefault="00C43638" w:rsidP="00C43638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C43638">
        <w:rPr>
          <w:rFonts w:cs="Arial"/>
        </w:rPr>
        <w:t xml:space="preserve">Wydatki nie mające bezpośredniego związku </w:t>
      </w:r>
      <w:r w:rsidR="0084221D">
        <w:rPr>
          <w:rFonts w:cs="Arial"/>
        </w:rPr>
        <w:t xml:space="preserve">z </w:t>
      </w:r>
      <w:r w:rsidRPr="00782A35">
        <w:rPr>
          <w:rFonts w:cs="Arial"/>
        </w:rPr>
        <w:t>wymian</w:t>
      </w:r>
      <w:r>
        <w:rPr>
          <w:rFonts w:cs="Arial"/>
        </w:rPr>
        <w:t>ą</w:t>
      </w:r>
      <w:r w:rsidRPr="00782A35">
        <w:rPr>
          <w:rFonts w:cs="Arial"/>
        </w:rPr>
        <w:t xml:space="preserve"> źródła ciepła z ew. dostosowaniem instalacji grzewczej i/lub pozyskiwania ciepłej wody użytkowej, bądź do wytwarzania energii elektrycznej na potrzeby budynku</w:t>
      </w:r>
      <w:r>
        <w:rPr>
          <w:rFonts w:cs="Arial"/>
        </w:rPr>
        <w:t xml:space="preserve"> </w:t>
      </w:r>
      <w:r w:rsidRPr="00782A35">
        <w:rPr>
          <w:rFonts w:cs="Arial"/>
        </w:rPr>
        <w:t>/</w:t>
      </w:r>
      <w:r>
        <w:rPr>
          <w:rFonts w:cs="Arial"/>
        </w:rPr>
        <w:t xml:space="preserve"> </w:t>
      </w:r>
      <w:r w:rsidRPr="00782A35">
        <w:rPr>
          <w:rFonts w:cs="Arial"/>
        </w:rPr>
        <w:t>mieszkania, gdzie wymianie podlega źródło ciepła</w:t>
      </w:r>
      <w:r w:rsidRPr="00C43638">
        <w:rPr>
          <w:rFonts w:cs="Arial"/>
        </w:rPr>
        <w:t xml:space="preserve"> (np. zmiana układu pomieszczeń, wyposażenie pomieszczeń w meble, montaż urządzeń sanitarnych, remont klatki schodowej, wykończenie pomieszczeń, wymiana oświetlenia, urządzeń elektrycznych).</w:t>
      </w:r>
      <w:r w:rsidR="00EC68AE">
        <w:rPr>
          <w:rStyle w:val="Odwoanieprzypisudolnego"/>
          <w:rFonts w:cs="Arial"/>
        </w:rPr>
        <w:footnoteReference w:id="44"/>
      </w:r>
    </w:p>
    <w:p w:rsidR="00C43638" w:rsidRPr="00DD0783" w:rsidRDefault="00C43638" w:rsidP="00E71C56">
      <w:pPr>
        <w:pStyle w:val="Akapitzlist"/>
        <w:numPr>
          <w:ilvl w:val="0"/>
          <w:numId w:val="10"/>
        </w:numPr>
        <w:jc w:val="both"/>
      </w:pPr>
      <w:r>
        <w:t xml:space="preserve">Wydatki </w:t>
      </w:r>
      <w:r w:rsidRPr="00782A35">
        <w:rPr>
          <w:rFonts w:cs="Arial"/>
        </w:rPr>
        <w:t>związan</w:t>
      </w:r>
      <w:r>
        <w:rPr>
          <w:rFonts w:cs="Arial"/>
        </w:rPr>
        <w:t>e</w:t>
      </w:r>
      <w:r w:rsidRPr="00782A35">
        <w:rPr>
          <w:rFonts w:cs="Arial"/>
        </w:rPr>
        <w:t xml:space="preserve"> z realizacją koncepcji uniwersalnego projektowania, o której mowa w </w:t>
      </w:r>
      <w:r w:rsidRPr="00782A35">
        <w:rPr>
          <w:rFonts w:cs="Arial"/>
          <w:i/>
        </w:rPr>
        <w:t>Wytycznych w zakresie realizacji zasady równości szans i niedyskryminacji,</w:t>
      </w:r>
      <w:r w:rsidR="0084221D">
        <w:rPr>
          <w:rFonts w:cs="Arial"/>
          <w:i/>
        </w:rPr>
        <w:t xml:space="preserve"> </w:t>
      </w:r>
      <w:r w:rsidRPr="00782A35">
        <w:rPr>
          <w:rFonts w:cs="Arial"/>
          <w:i/>
        </w:rPr>
        <w:t>w tym dostępności dla osób z niepełnosprawnościami oraz zasady równości szans kobiet i mężczyzn w ramach funduszy unijnych na lata 2014-2020</w:t>
      </w:r>
      <w:r>
        <w:rPr>
          <w:rFonts w:cs="Arial"/>
          <w:iCs/>
        </w:rPr>
        <w:t xml:space="preserve"> przekraczające limit 10% wydatków kwalifikowalnych w projekcie</w:t>
      </w:r>
      <w:bookmarkStart w:id="16" w:name="_Hlk29386816"/>
      <w:r w:rsidR="001678D7">
        <w:rPr>
          <w:rFonts w:cs="Arial"/>
          <w:iCs/>
        </w:rPr>
        <w:t xml:space="preserve"> (dla pojedynczego grantu również obowiązuje limit 10%)</w:t>
      </w:r>
      <w:bookmarkEnd w:id="16"/>
      <w:r w:rsidR="00EC68AE">
        <w:rPr>
          <w:rFonts w:cs="Arial"/>
          <w:iCs/>
        </w:rPr>
        <w:t>.</w:t>
      </w:r>
      <w:r w:rsidR="00EC68AE">
        <w:rPr>
          <w:rStyle w:val="Odwoanieprzypisudolnego"/>
          <w:rFonts w:cs="Arial"/>
          <w:iCs/>
        </w:rPr>
        <w:footnoteReference w:id="45"/>
      </w:r>
    </w:p>
    <w:p w:rsidR="0010120B" w:rsidRDefault="0010120B" w:rsidP="001B7507">
      <w:pPr>
        <w:spacing w:after="0"/>
        <w:jc w:val="both"/>
        <w:rPr>
          <w:b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lastRenderedPageBreak/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46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>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47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48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:rsidR="00A77673" w:rsidRPr="00746B7B" w:rsidRDefault="0022532B" w:rsidP="00746B7B">
      <w:pPr>
        <w:pStyle w:val="Akapitzlist"/>
        <w:numPr>
          <w:ilvl w:val="0"/>
          <w:numId w:val="30"/>
        </w:numPr>
        <w:spacing w:line="240" w:lineRule="auto"/>
        <w:ind w:left="360"/>
        <w:jc w:val="both"/>
        <w:rPr>
          <w:rFonts w:cs="Arial"/>
        </w:rPr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8D002F">
        <w:rPr>
          <w:rFonts w:cs="Arial"/>
        </w:rPr>
        <w:t>zgodnie z definicją z ustawy z dnia 20 czerwca 1997 r. Prawo o ruchu drogowym</w:t>
      </w:r>
      <w:r w:rsidR="00746B7B">
        <w:rPr>
          <w:rFonts w:cs="Arial"/>
        </w:rPr>
        <w:t>.</w:t>
      </w:r>
      <w:r w:rsidR="0009794A" w:rsidRPr="008D002F">
        <w:rPr>
          <w:rFonts w:cs="Arial"/>
        </w:rPr>
        <w:t xml:space="preserve"> </w:t>
      </w:r>
      <w:r w:rsidR="001113B7" w:rsidRPr="008D002F">
        <w:rPr>
          <w:rFonts w:cs="Arial"/>
        </w:rPr>
        <w:t xml:space="preserve">Dodatkowo </w:t>
      </w:r>
      <w:r w:rsidR="00A77673" w:rsidRPr="008D002F">
        <w:rPr>
          <w:rFonts w:cs="Arial"/>
        </w:rPr>
        <w:t xml:space="preserve">dla typu </w:t>
      </w:r>
      <w:r w:rsidR="001113B7" w:rsidRPr="008D002F">
        <w:rPr>
          <w:rFonts w:cs="Arial"/>
        </w:rPr>
        <w:t>3.4 e</w:t>
      </w:r>
      <w:r w:rsidR="001113B7" w:rsidRPr="00746B7B">
        <w:rPr>
          <w:rFonts w:ascii="Calibri" w:hAnsi="Calibri" w:cstheme="minorHAnsi"/>
          <w:bCs/>
          <w:szCs w:val="24"/>
        </w:rPr>
        <w:t xml:space="preserve"> inwestycje związane z energooszczędnym oświetleniem ulicznym i drogowym przy drogach publicznych:</w:t>
      </w:r>
    </w:p>
    <w:p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>Wydatki na audyt efektywności energetycznej sporządzony wcześniej niż dwa lata przed rokiem ogłoszenia konkursu.</w:t>
      </w:r>
    </w:p>
    <w:p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 xml:space="preserve">Wydatki na budowę nowych odcinków oświetlenia </w:t>
      </w:r>
      <w:r w:rsidRPr="0045119D">
        <w:rPr>
          <w:rFonts w:eastAsia="Times New Roman"/>
        </w:rPr>
        <w:t>powstające poza krańcami obszaru objętego projektem (rozumianego jako istniejący obecnie system oświetlenia) lub na obszarach, które nie były wcześniej oświetlone.</w:t>
      </w:r>
    </w:p>
    <w:p w:rsidR="001113B7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oświetlenie, które nie jest finansowane przez gminę na podstawie </w:t>
      </w:r>
      <w:r w:rsidRPr="001113B7">
        <w:rPr>
          <w:rFonts w:cs="Arial"/>
        </w:rPr>
        <w:t>art. 18 ust. 1 pkt. 3 ustawy z dnia 10 kwietnia 1997 r. prawo energetyczne</w:t>
      </w:r>
      <w:r>
        <w:rPr>
          <w:rFonts w:cs="Arial"/>
        </w:rPr>
        <w:t>.</w:t>
      </w:r>
    </w:p>
    <w:p w:rsidR="001113B7" w:rsidRPr="00B43F6B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 </w:t>
      </w:r>
      <w:r w:rsidRPr="00D47891">
        <w:rPr>
          <w:color w:val="000000"/>
        </w:rPr>
        <w:t xml:space="preserve">w gminach miejsko – wiejskich </w:t>
      </w:r>
      <w:r w:rsidR="008640C5">
        <w:rPr>
          <w:color w:val="000000"/>
        </w:rPr>
        <w:t xml:space="preserve">jeśli </w:t>
      </w:r>
      <w:r w:rsidRPr="00D47891">
        <w:rPr>
          <w:color w:val="000000"/>
        </w:rPr>
        <w:t xml:space="preserve">co najmniej 35% ilości modernizowanych opraw </w:t>
      </w:r>
      <w:r w:rsidR="008640C5">
        <w:rPr>
          <w:color w:val="000000"/>
        </w:rPr>
        <w:t xml:space="preserve">nie znajduje się na </w:t>
      </w:r>
      <w:r w:rsidRPr="00D47891">
        <w:rPr>
          <w:color w:val="000000"/>
        </w:rPr>
        <w:t>teren</w:t>
      </w:r>
      <w:r w:rsidR="008640C5">
        <w:rPr>
          <w:color w:val="000000"/>
        </w:rPr>
        <w:t>ie</w:t>
      </w:r>
      <w:r w:rsidRPr="00D47891">
        <w:rPr>
          <w:color w:val="000000"/>
        </w:rPr>
        <w:t xml:space="preserve"> miasta</w:t>
      </w:r>
      <w:r w:rsidR="008640C5">
        <w:rPr>
          <w:color w:val="000000"/>
        </w:rPr>
        <w:t>.</w:t>
      </w:r>
    </w:p>
    <w:p w:rsidR="000E1A11" w:rsidRPr="0009794A" w:rsidRDefault="000E1A11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</w:t>
      </w:r>
      <w:r w:rsidR="008640C5">
        <w:rPr>
          <w:rFonts w:cs="Arial"/>
        </w:rPr>
        <w:t xml:space="preserve">na oświetlenie </w:t>
      </w:r>
      <w:r>
        <w:rPr>
          <w:rFonts w:cs="Arial"/>
        </w:rPr>
        <w:t xml:space="preserve">w gminach </w:t>
      </w:r>
      <w:r w:rsidR="008640C5">
        <w:rPr>
          <w:rFonts w:cs="Arial"/>
        </w:rPr>
        <w:t>wiejskich.</w:t>
      </w:r>
    </w:p>
    <w:p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>4.1 Gospodarka odpadami:</w:t>
      </w:r>
    </w:p>
    <w:p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:rsidR="00E74430" w:rsidRPr="00E74430" w:rsidRDefault="00A23F33" w:rsidP="00E74430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>Zakup środków transportu</w:t>
      </w:r>
      <w:r w:rsidR="00E74430">
        <w:t xml:space="preserve"> oraz s</w:t>
      </w:r>
      <w:r w:rsidRPr="00DD0783">
        <w:t xml:space="preserve">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</w:t>
      </w:r>
      <w:r w:rsidR="00E74430">
        <w:t xml:space="preserve"> (w tym wozów asenizacyjnych) przekraczających 20% wydatków kwalifikowalnych projektu. </w:t>
      </w:r>
    </w:p>
    <w:p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:rsidR="002D017D" w:rsidRDefault="00455244" w:rsidP="002F5739">
      <w:pPr>
        <w:pStyle w:val="Akapitzlist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:rsidR="00455244" w:rsidRPr="0028003C" w:rsidRDefault="00455244" w:rsidP="002F5739">
      <w:pPr>
        <w:pStyle w:val="Akapitzlist"/>
        <w:spacing w:after="0"/>
        <w:jc w:val="both"/>
        <w:rPr>
          <w:rFonts w:cs="Times New Roman"/>
        </w:rPr>
      </w:pPr>
    </w:p>
    <w:p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:rsidR="000F7BCE" w:rsidRDefault="00A23F33" w:rsidP="00B43F6B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:rsidR="000E298A" w:rsidRPr="00D109AA" w:rsidRDefault="000F7BCE" w:rsidP="00B43F6B">
      <w:pPr>
        <w:pStyle w:val="Akapitzlist"/>
        <w:numPr>
          <w:ilvl w:val="0"/>
          <w:numId w:val="9"/>
        </w:numPr>
        <w:spacing w:after="0"/>
        <w:jc w:val="both"/>
      </w:pPr>
      <w:r>
        <w:t xml:space="preserve">Wydatki przekraczające </w:t>
      </w:r>
      <w:r w:rsidR="009429E9">
        <w:t>4</w:t>
      </w:r>
      <w:r>
        <w:t xml:space="preserve">0% wydatków kwalifikowalnych projektu </w:t>
      </w:r>
      <w:r w:rsidR="001E5BD1" w:rsidRPr="00D109AA">
        <w:t xml:space="preserve">na zwiększenie dostępności do dofinansowywanej infrastruktury </w:t>
      </w:r>
      <w:r w:rsidR="001E5BD1">
        <w:t xml:space="preserve">w postaci </w:t>
      </w:r>
      <w:r w:rsidR="00A3315B">
        <w:t xml:space="preserve">szlaków </w:t>
      </w:r>
      <w:r w:rsidR="001E5BD1">
        <w:t>rowerowych</w:t>
      </w:r>
      <w:r w:rsidR="00B121F8">
        <w:t xml:space="preserve"> </w:t>
      </w:r>
      <w:r w:rsidR="001E5BD1">
        <w:t>– dot. schem</w:t>
      </w:r>
      <w:r w:rsidR="005D6DC1">
        <w:t>a</w:t>
      </w:r>
      <w:r w:rsidR="001E5BD1">
        <w:t>tu 4.4.H</w:t>
      </w:r>
      <w:r w:rsidR="000F6F00">
        <w:t>.</w:t>
      </w:r>
    </w:p>
    <w:p w:rsidR="00A3315B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na zakup rowerów, kajaków i innego sprzętu sportowo-rekreacyjnego</w:t>
      </w:r>
      <w:r w:rsidR="000E298A">
        <w:t xml:space="preserve"> – dot. schematu 4.4.H</w:t>
      </w:r>
      <w:r w:rsidR="000F6F00">
        <w:t>.</w:t>
      </w:r>
    </w:p>
    <w:p w:rsidR="000E298A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dot. budowy,</w:t>
      </w:r>
      <w:r w:rsidR="00CA66C1">
        <w:t xml:space="preserve"> przebudowy</w:t>
      </w:r>
      <w:r w:rsidR="00A3315B">
        <w:t xml:space="preserve"> wyposażenia obiektów handlowo-usługowych</w:t>
      </w:r>
      <w:r w:rsidR="000E298A">
        <w:t xml:space="preserve"> – dot. schematu 4.4.H</w:t>
      </w:r>
      <w:r w:rsidR="000F6F00">
        <w:t>.</w:t>
      </w:r>
    </w:p>
    <w:p w:rsidR="000E298A" w:rsidRDefault="005C51F6" w:rsidP="000E298A">
      <w:pPr>
        <w:pStyle w:val="Akapitzlist"/>
        <w:numPr>
          <w:ilvl w:val="0"/>
          <w:numId w:val="9"/>
        </w:numPr>
        <w:spacing w:after="0"/>
        <w:jc w:val="both"/>
      </w:pPr>
      <w:r>
        <w:lastRenderedPageBreak/>
        <w:t>W</w:t>
      </w:r>
      <w:r w:rsidR="000E298A">
        <w:t>ydatki powyżej  5% całkowitych wydatków kwalifikowalnych na drogi dojazdowe do portów i/lub przystani – dot. schematu 4.4.H.</w:t>
      </w:r>
    </w:p>
    <w:p w:rsidR="001B7507" w:rsidRPr="00DD0783" w:rsidRDefault="001B7507" w:rsidP="00E0122E">
      <w:pPr>
        <w:spacing w:after="0"/>
        <w:jc w:val="both"/>
      </w:pP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49"/>
      </w:r>
      <w:r w:rsidRPr="00DD0783">
        <w:t xml:space="preserve"> można uznać za kwalifikowalne zgodnie z poniższymi regułami: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50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51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urządzenia techniczne drogi (np. bariery ochronne, ogrodzenie drogi i inne urządzenia zabezpieczające przed wkroczeniem zwierząt na drogę, osłony przeciwolśnieniowe, osłony przeciwwietrzne) mogą stanowić wydatek kwalifikowalny do wysokości 25% wydatk</w:t>
      </w:r>
      <w:r w:rsidR="003B2988" w:rsidRPr="00DD0783">
        <w:t>ów kwalifikowalnych w projekcie;</w:t>
      </w:r>
    </w:p>
    <w:p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 xml:space="preserve">Wydatki związane z budową, przebudową, modernizacją i/lub remontem infrastruktury technicznej w pasie drogowym niezwiązanej z drogą (np. linie elektroenergetyczne wysokiego </w:t>
      </w:r>
      <w:r w:rsidRPr="00DD0783">
        <w:lastRenderedPageBreak/>
        <w:t>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52"/>
      </w:r>
      <w:r w:rsidRPr="00DD0783">
        <w:t>.</w:t>
      </w:r>
    </w:p>
    <w:p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53"/>
      </w:r>
      <w:r w:rsidRPr="00DD0783">
        <w:t xml:space="preserve"> – w 6.1 C, D, E.</w:t>
      </w:r>
    </w:p>
    <w:p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54"/>
      </w:r>
      <w:r w:rsidRPr="00DD0783">
        <w:t>.</w:t>
      </w:r>
    </w:p>
    <w:p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55"/>
      </w:r>
      <w:r w:rsidRPr="00DD0783">
        <w:t>.</w:t>
      </w:r>
    </w:p>
    <w:p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:rsidR="00897BAD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>6.2 Inwestycje w infrastrukturę zdrowotną:</w:t>
      </w:r>
      <w:r w:rsidR="00897BAD">
        <w:rPr>
          <w:b/>
        </w:rPr>
        <w:t xml:space="preserve"> </w:t>
      </w:r>
    </w:p>
    <w:p w:rsidR="00A23F33" w:rsidRPr="00DD0783" w:rsidRDefault="00897BAD" w:rsidP="001B7507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6.2.A i 6.2.B</w:t>
      </w:r>
      <w:r w:rsidR="00A23F33" w:rsidRPr="00DD0783">
        <w:rPr>
          <w:b/>
        </w:rPr>
        <w:t>: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56"/>
      </w:r>
      <w:r w:rsidRPr="00DD0783">
        <w:t>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57"/>
      </w:r>
      <w:r w:rsidRPr="00DD0783">
        <w:t>.</w:t>
      </w:r>
    </w:p>
    <w:p w:rsidR="00A23F3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58"/>
      </w:r>
      <w:r w:rsidRPr="00DD0783">
        <w:t>.</w:t>
      </w:r>
    </w:p>
    <w:p w:rsidR="005953E3" w:rsidRDefault="005953E3" w:rsidP="004F19B4">
      <w:pPr>
        <w:pStyle w:val="Akapitzlist"/>
        <w:jc w:val="both"/>
      </w:pPr>
    </w:p>
    <w:p w:rsidR="005953E3" w:rsidRDefault="005953E3" w:rsidP="004F19B4">
      <w:pPr>
        <w:spacing w:after="0"/>
        <w:jc w:val="both"/>
        <w:rPr>
          <w:b/>
        </w:rPr>
      </w:pPr>
      <w:r w:rsidRPr="004F19B4">
        <w:rPr>
          <w:b/>
        </w:rPr>
        <w:t>Typ projektu:  6.2.</w:t>
      </w:r>
      <w:r w:rsidR="00897BAD">
        <w:rPr>
          <w:b/>
        </w:rPr>
        <w:t>C</w:t>
      </w:r>
      <w:r w:rsidRPr="004F19B4">
        <w:rPr>
          <w:b/>
        </w:rPr>
        <w:t>:</w:t>
      </w:r>
    </w:p>
    <w:p w:rsidR="00897BAD" w:rsidRPr="00DD0783" w:rsidRDefault="00897BAD" w:rsidP="00897BAD">
      <w:pPr>
        <w:pStyle w:val="Akapitzlist"/>
        <w:numPr>
          <w:ilvl w:val="0"/>
          <w:numId w:val="5"/>
        </w:numPr>
        <w:jc w:val="both"/>
      </w:pPr>
      <w:r w:rsidRPr="004F19B4">
        <w:t>Wydatki związane z zakupem sprzętu medycznego, na którym będą świadczone usługi medyczne odpłatne</w:t>
      </w:r>
      <w:r w:rsidRPr="00DD0783">
        <w:t>, generujące przychód w projekcie.</w:t>
      </w:r>
    </w:p>
    <w:p w:rsidR="00835E34" w:rsidRPr="004F19B4" w:rsidRDefault="00835E34" w:rsidP="004F19B4">
      <w:pPr>
        <w:pStyle w:val="Akapitzlist"/>
        <w:numPr>
          <w:ilvl w:val="0"/>
          <w:numId w:val="5"/>
        </w:numPr>
        <w:jc w:val="both"/>
      </w:pPr>
      <w:r w:rsidRPr="004F19B4">
        <w:t>Wydatki wykraczające poza zakres rzeczowy ustalony z wojewodą dolnośląskim</w:t>
      </w:r>
      <w:r w:rsidR="00B90C4B" w:rsidRPr="004F19B4">
        <w:t>.</w:t>
      </w:r>
    </w:p>
    <w:p w:rsidR="006B4515" w:rsidRDefault="006B4515" w:rsidP="003B2988">
      <w:pPr>
        <w:pStyle w:val="Akapitzlist"/>
        <w:jc w:val="both"/>
      </w:pPr>
    </w:p>
    <w:p w:rsidR="004F19B4" w:rsidRPr="00DD0783" w:rsidRDefault="004F19B4" w:rsidP="003B2988">
      <w:pPr>
        <w:pStyle w:val="Akapitzlist"/>
        <w:jc w:val="both"/>
      </w:pPr>
    </w:p>
    <w:p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lastRenderedPageBreak/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9"/>
      </w:r>
      <w:r w:rsidRPr="00DD0783">
        <w:t>.</w:t>
      </w:r>
    </w:p>
    <w:p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9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60"/>
      </w:r>
      <w:r w:rsidR="003C461F" w:rsidRPr="00DD0783">
        <w:t xml:space="preserve"> </w:t>
      </w:r>
      <w:bookmarkEnd w:id="19"/>
      <w:r w:rsidR="00B27986">
        <w:t xml:space="preserve"> </w:t>
      </w:r>
      <w:r w:rsidRPr="00DD0783">
        <w:rPr>
          <w:vertAlign w:val="superscript"/>
        </w:rPr>
        <w:footnoteReference w:id="61"/>
      </w:r>
      <w:r w:rsidRPr="00DD0783">
        <w:t>.</w:t>
      </w:r>
      <w:bookmarkStart w:id="20" w:name="_Hlk493154503"/>
    </w:p>
    <w:p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62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63"/>
      </w:r>
      <w:r w:rsidRPr="00DD0783">
        <w:t xml:space="preserve">) </w:t>
      </w:r>
      <w:bookmarkEnd w:id="20"/>
      <w:r w:rsidRPr="00DD0783">
        <w:rPr>
          <w:rStyle w:val="Odwoanieprzypisudolnego"/>
        </w:rPr>
        <w:footnoteReference w:id="64"/>
      </w:r>
      <w:r w:rsidRPr="00DD0783">
        <w:t>.</w:t>
      </w:r>
    </w:p>
    <w:p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65"/>
      </w:r>
      <w:r w:rsidR="00981291" w:rsidRPr="00DD0783">
        <w:t>.</w:t>
      </w:r>
    </w:p>
    <w:p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66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67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68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69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70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1"/>
      </w:r>
      <w:r w:rsidRPr="00DD0783">
        <w:rPr>
          <w:rFonts w:eastAsia="Times New Roman" w:cs="Times New Roman"/>
        </w:rPr>
        <w:t>.</w:t>
      </w:r>
    </w:p>
    <w:p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bookmarkStart w:id="21" w:name="_Hlk21428226"/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</w:t>
      </w:r>
      <w:bookmarkEnd w:id="21"/>
      <w:r w:rsidR="00A23F33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72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73"/>
      </w:r>
      <w:r w:rsidRPr="00DD0783">
        <w:t>.</w:t>
      </w:r>
    </w:p>
    <w:p w:rsidR="00A23F3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2" w:name="_Hlk21416073"/>
      <w:r w:rsidRPr="00DD0783">
        <w:rPr>
          <w:rFonts w:eastAsia="Times New Roman" w:cs="Times New Roman"/>
        </w:rPr>
        <w:t>Wydatki na infrastrukturę szkolnictwa ponadgimnazjalnego ogólnego w przypadku naborów skierowanych do szkolnictw</w:t>
      </w:r>
      <w:r w:rsidR="004739A6">
        <w:rPr>
          <w:rFonts w:eastAsia="Times New Roman" w:cs="Times New Roman"/>
        </w:rPr>
        <w:t>a</w:t>
      </w:r>
      <w:r w:rsidRPr="00DD0783">
        <w:rPr>
          <w:rFonts w:eastAsia="Times New Roman" w:cs="Times New Roman"/>
        </w:rPr>
        <w:t xml:space="preserve"> ponadgimnazjalnego zawodowego</w:t>
      </w:r>
      <w:r w:rsidRPr="00DD0783">
        <w:rPr>
          <w:rFonts w:eastAsia="Times New Roman" w:cs="Times New Roman"/>
          <w:vertAlign w:val="superscript"/>
        </w:rPr>
        <w:footnoteReference w:id="74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75"/>
      </w:r>
      <w:r w:rsidRPr="00DD0783">
        <w:rPr>
          <w:rFonts w:eastAsia="Times New Roman" w:cs="Times New Roman"/>
        </w:rPr>
        <w:t>.</w:t>
      </w:r>
    </w:p>
    <w:p w:rsidR="009828BB" w:rsidRPr="00DD0783" w:rsidRDefault="009828BB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3" w:name="_Hlk21428619"/>
      <w:bookmarkEnd w:id="22"/>
      <w:r w:rsidRPr="00DD0783">
        <w:rPr>
          <w:rFonts w:eastAsia="Times New Roman" w:cs="Times New Roman"/>
        </w:rPr>
        <w:t xml:space="preserve">Wydatki na infrastrukturę </w:t>
      </w:r>
      <w:r>
        <w:rPr>
          <w:rFonts w:eastAsia="Times New Roman" w:cs="Times New Roman"/>
        </w:rPr>
        <w:t>szkół podstawowych</w:t>
      </w:r>
      <w:bookmarkEnd w:id="23"/>
      <w:r>
        <w:rPr>
          <w:rStyle w:val="Odwoanieprzypisudolnego"/>
          <w:rFonts w:eastAsia="Times New Roman" w:cs="Times New Roman"/>
        </w:rPr>
        <w:footnoteReference w:id="76"/>
      </w:r>
      <w:r>
        <w:rPr>
          <w:rFonts w:eastAsia="Times New Roman" w:cs="Times New Roman"/>
        </w:rPr>
        <w:t>.</w:t>
      </w:r>
    </w:p>
    <w:p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Koszty zagospodarowania terenu wokół szkół i placówek oraz budowa dróg dojazdowych, wewnętrznych i parkingów.</w:t>
      </w:r>
    </w:p>
    <w:p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7"/>
      </w:r>
      <w:r w:rsidRPr="00DD0783">
        <w:rPr>
          <w:rFonts w:eastAsia="Times New Roman" w:cs="Times New Roman"/>
        </w:rPr>
        <w:t>.</w:t>
      </w:r>
    </w:p>
    <w:p w:rsidR="00EA19D0" w:rsidRPr="00025329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:rsidR="00025329" w:rsidRDefault="00025329" w:rsidP="00025329">
      <w:pPr>
        <w:pStyle w:val="Akapitzlist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:rsidR="00025329" w:rsidRPr="00025329" w:rsidRDefault="00025329" w:rsidP="00F67081">
      <w:pPr>
        <w:pStyle w:val="Akapitzlist"/>
        <w:tabs>
          <w:tab w:val="left" w:pos="5330"/>
        </w:tabs>
        <w:spacing w:line="240" w:lineRule="auto"/>
        <w:jc w:val="both"/>
        <w:rPr>
          <w:b/>
        </w:rPr>
      </w:pPr>
    </w:p>
    <w:p w:rsidR="00526548" w:rsidRDefault="00526548" w:rsidP="00F67081">
      <w:pPr>
        <w:pBdr>
          <w:top w:val="single" w:sz="4" w:space="1" w:color="auto"/>
        </w:pBdr>
        <w:tabs>
          <w:tab w:val="left" w:pos="5330"/>
        </w:tabs>
        <w:spacing w:after="0" w:line="240" w:lineRule="auto"/>
        <w:jc w:val="center"/>
        <w:rPr>
          <w:b/>
        </w:rPr>
      </w:pPr>
    </w:p>
    <w:p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:rsidR="00526548" w:rsidRDefault="00526548" w:rsidP="00526548">
      <w:pPr>
        <w:tabs>
          <w:tab w:val="left" w:pos="5330"/>
        </w:tabs>
        <w:spacing w:line="240" w:lineRule="auto"/>
        <w:jc w:val="both"/>
      </w:pPr>
      <w:r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Pr="00AF3312">
        <w:rPr>
          <w:b/>
        </w:rPr>
        <w:t>.</w:t>
      </w:r>
    </w:p>
    <w:p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>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podstawy wyliczenia stawki ryczałtowej, o ile zastosowanie stawki ryczałtowej wymaga określenia tego typu kosztów</w:t>
      </w:r>
      <w:r>
        <w:rPr>
          <w:rFonts w:cs="Calibri"/>
        </w:rPr>
        <w:t>,</w:t>
      </w:r>
    </w:p>
    <w:p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 xml:space="preserve">koszty niezbędne do realizacji projektu, ale niedotyczące bezpośrednio głównego przedmiotu projektu, wskazane jako kwalifikowalne w regulaminie konkursu lub zasadach ubiegania się o wsparcie w trybie pozakonkursowym. Obejmują one w szczególności koszty administracyjne, w przypadku których trudno jest dokładnie określić kwotę, </w:t>
      </w:r>
      <w:r w:rsidR="00BA7DC6" w:rsidRPr="00BA7DC6">
        <w:rPr>
          <w:rFonts w:cs="Calibri"/>
        </w:rPr>
        <w:lastRenderedPageBreak/>
        <w:t xml:space="preserve">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321E4D" w:rsidRDefault="00321E4D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</w:p>
    <w:p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:rsidR="00526548" w:rsidRPr="007C5B3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="0045119D">
        <w:rPr>
          <w:rFonts w:cs="Calibri"/>
        </w:rPr>
        <w:t xml:space="preserve">(z zastrzeżeniem poniższego pkt. 7) </w:t>
      </w:r>
      <w:r w:rsidRPr="007C5B38">
        <w:rPr>
          <w:rFonts w:cs="Calibri"/>
        </w:rPr>
        <w:t>oraz koszty związane z wdrażaniem polityki równych szans przez te osoby,</w:t>
      </w:r>
    </w:p>
    <w:p w:rsidR="0052654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wydatki związane z otworzeniem lub prowadzeniem wyodrębnionego na rzecz projektu subkonta na rachunku bankowym lub odrębnego rachunku bankowego,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 xml:space="preserve">zarządzania projektem 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lastRenderedPageBreak/>
        <w:t>opłaty za energię elektryczną, cieplną, gazową i wodę, opłaty przesyłowe, opłaty za odprowadzanie ścieków w zakresie związanym z obsługą administracyjną projektu,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>de minimis</w:t>
      </w:r>
      <w:r w:rsidRPr="00BA7DC6">
        <w:rPr>
          <w:rFonts w:cs="Calibri"/>
        </w:rPr>
        <w:t>.</w:t>
      </w:r>
    </w:p>
    <w:p w:rsidR="00843D11" w:rsidRPr="007C5B38" w:rsidRDefault="00843D11" w:rsidP="009074A5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cross-financing</w:t>
      </w:r>
      <w:r w:rsidRPr="007C5B38">
        <w:rPr>
          <w:rFonts w:cs="Calibri"/>
        </w:rPr>
        <w:t>.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</w:t>
      </w:r>
      <w:r w:rsidRPr="00CB18AB">
        <w:rPr>
          <w:rFonts w:ascii="Calibri" w:eastAsia="Calibri" w:hAnsi="Calibri" w:cs="Calibri"/>
          <w:lang w:eastAsia="en-US"/>
        </w:rPr>
        <w:lastRenderedPageBreak/>
        <w:t xml:space="preserve">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2E341E" w:rsidRPr="002D3C6C" w:rsidRDefault="002E341E" w:rsidP="002E341E">
      <w:pPr>
        <w:pStyle w:val="Tekstprzypisukocowego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lastRenderedPageBreak/>
        <w:t>Wynik należy zaokrąglić zgodnie z regułą matematyczną („5” na trzecim miejscu po przecinku zaokrąglana jest w górę).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D11" w:rsidTr="00843D11">
        <w:tc>
          <w:tcPr>
            <w:tcW w:w="9062" w:type="dxa"/>
          </w:tcPr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4433"/>
              <w:gridCol w:w="4403"/>
            </w:tblGrid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:rsidTr="00F67081"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Odwoaniedokomentarza"/>
              </w:rPr>
            </w:pPr>
          </w:p>
        </w:tc>
      </w:tr>
    </w:tbl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lastRenderedPageBreak/>
        <w:t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7A0112" w:rsidRDefault="00526548" w:rsidP="007A0112">
      <w:pPr>
        <w:spacing w:before="120" w:after="120"/>
        <w:jc w:val="both"/>
      </w:pPr>
      <w:r>
        <w:rPr>
          <w:rFonts w:cs="Calibri"/>
        </w:rPr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bezpośrednich wydatków kwalifikowalnych projektu stanowiących podstawę do wyliczenia kosztów pośrednich (np. ulegną obniżeniu na skutek powstania oszczędności poprzetargowych,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F2F" w:rsidRDefault="00DB4F2F" w:rsidP="00BA376B">
      <w:pPr>
        <w:spacing w:after="0" w:line="240" w:lineRule="auto"/>
      </w:pPr>
      <w:r>
        <w:separator/>
      </w:r>
    </w:p>
  </w:endnote>
  <w:endnote w:type="continuationSeparator" w:id="0">
    <w:p w:rsidR="00DB4F2F" w:rsidRDefault="00DB4F2F" w:rsidP="00BA376B">
      <w:pPr>
        <w:spacing w:after="0" w:line="240" w:lineRule="auto"/>
      </w:pPr>
      <w:r>
        <w:continuationSeparator/>
      </w:r>
    </w:p>
  </w:endnote>
  <w:endnote w:type="continuationNotice" w:id="1">
    <w:p w:rsidR="00DB4F2F" w:rsidRDefault="00DB4F2F">
      <w:pPr>
        <w:spacing w:after="0" w:line="240" w:lineRule="auto"/>
      </w:pPr>
    </w:p>
  </w:endnote>
  <w:endnote w:id="2">
    <w:p w:rsidR="00DB4F2F" w:rsidRPr="002D3C6C" w:rsidRDefault="00DB4F2F" w:rsidP="00C5419D">
      <w:pPr>
        <w:pStyle w:val="Tekstprzypisukocowego"/>
        <w:jc w:val="both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732661"/>
      <w:docPartObj>
        <w:docPartGallery w:val="Page Numbers (Bottom of Page)"/>
        <w:docPartUnique/>
      </w:docPartObj>
    </w:sdtPr>
    <w:sdtEndPr/>
    <w:sdtContent>
      <w:p w:rsidR="00DB4F2F" w:rsidRDefault="00DB4F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89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DB4F2F" w:rsidRDefault="00DB4F2F" w:rsidP="00DC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F2F" w:rsidRDefault="00DB4F2F" w:rsidP="00BA376B">
      <w:pPr>
        <w:spacing w:after="0" w:line="240" w:lineRule="auto"/>
      </w:pPr>
      <w:r>
        <w:separator/>
      </w:r>
    </w:p>
  </w:footnote>
  <w:footnote w:type="continuationSeparator" w:id="0">
    <w:p w:rsidR="00DB4F2F" w:rsidRDefault="00DB4F2F" w:rsidP="00BA376B">
      <w:pPr>
        <w:spacing w:after="0" w:line="240" w:lineRule="auto"/>
      </w:pPr>
      <w:r>
        <w:continuationSeparator/>
      </w:r>
    </w:p>
  </w:footnote>
  <w:footnote w:type="continuationNotice" w:id="1">
    <w:p w:rsidR="00DB4F2F" w:rsidRDefault="00DB4F2F">
      <w:pPr>
        <w:spacing w:after="0" w:line="240" w:lineRule="auto"/>
      </w:pPr>
    </w:p>
  </w:footnote>
  <w:footnote w:id="2">
    <w:p w:rsidR="00DB4F2F" w:rsidRPr="00013AFB" w:rsidRDefault="00DB4F2F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3">
    <w:p w:rsidR="00DB4F2F" w:rsidRDefault="00DB4F2F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7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7"/>
    </w:p>
  </w:footnote>
  <w:footnote w:id="4">
    <w:p w:rsidR="00DB4F2F" w:rsidRPr="00013AFB" w:rsidRDefault="00DB4F2F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:rsidR="00DB4F2F" w:rsidRPr="00013AFB" w:rsidRDefault="00DB4F2F" w:rsidP="00013AFB">
      <w:pPr>
        <w:pStyle w:val="Tekstprzypisudolnego"/>
        <w:jc w:val="both"/>
        <w:rPr>
          <w:b/>
        </w:rPr>
      </w:pPr>
    </w:p>
  </w:footnote>
  <w:footnote w:id="5">
    <w:p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przed 1 lutego 2020 r. – w przypadku działań mających na celu</w:t>
      </w:r>
      <w:r w:rsidRPr="00EF14EA">
        <w:t xml:space="preserve"> poprawę sytuacji epidemiologicznej w związku z koronawirusem (projektów typu 6.2 C)</w:t>
      </w:r>
      <w:r>
        <w:t>.</w:t>
      </w:r>
    </w:p>
  </w:footnote>
  <w:footnote w:id="6">
    <w:p w:rsidR="00DB4F2F" w:rsidRPr="00013AFB" w:rsidRDefault="00DB4F2F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:rsidR="00DB4F2F" w:rsidRPr="00013AFB" w:rsidRDefault="00DB4F2F">
      <w:pPr>
        <w:pStyle w:val="Tekstprzypisudolnego"/>
      </w:pPr>
    </w:p>
  </w:footnote>
  <w:footnote w:id="7">
    <w:p w:rsidR="00DB4F2F" w:rsidRDefault="00DB4F2F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8">
    <w:p w:rsidR="00DB4F2F" w:rsidRPr="00013AFB" w:rsidRDefault="00DB4F2F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9">
    <w:p w:rsidR="00DB4F2F" w:rsidRDefault="00DB4F2F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10">
    <w:p w:rsidR="00DB4F2F" w:rsidRDefault="00DB4F2F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11">
    <w:p w:rsidR="00DB4F2F" w:rsidRPr="00013AFB" w:rsidRDefault="00DB4F2F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12">
    <w:p w:rsidR="00DB4F2F" w:rsidRPr="00013AFB" w:rsidRDefault="00DB4F2F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3">
    <w:p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Dotyczy naborów do działania 1.1 ogłaszanych od października 2019 r. </w:t>
      </w:r>
    </w:p>
  </w:footnote>
  <w:footnote w:id="14">
    <w:p w:rsidR="00DB4F2F" w:rsidRPr="002E11F5" w:rsidRDefault="00DB4F2F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15">
    <w:p w:rsidR="00DB4F2F" w:rsidRPr="002E11F5" w:rsidRDefault="00DB4F2F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8" w:name="_Hlk493167426"/>
      <w:r w:rsidRPr="002E11F5">
        <w:t>Dla konkursów ogłaszanych od dnia 23.11.2015 r. – zapis nieobowiązujący.</w:t>
      </w:r>
      <w:bookmarkEnd w:id="8"/>
    </w:p>
  </w:footnote>
  <w:footnote w:id="16">
    <w:p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7">
    <w:p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8">
    <w:p w:rsidR="00DB4F2F" w:rsidRPr="002E11F5" w:rsidRDefault="00DB4F2F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9">
    <w:p w:rsidR="00DB4F2F" w:rsidRPr="002E11F5" w:rsidRDefault="00DB4F2F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10" w:name="_Hlk492628914"/>
      <w:r w:rsidRPr="002E11F5">
        <w:t>Dotyczy konkursów ogłaszanych od dnia 28.12.2015 r.</w:t>
      </w:r>
      <w:bookmarkEnd w:id="10"/>
      <w:r w:rsidRPr="002E11F5">
        <w:t xml:space="preserve"> Dla konkursów ogłaszanych przed 28.12.2015 r. – zapis nieobowiązujący.</w:t>
      </w:r>
    </w:p>
  </w:footnote>
  <w:footnote w:id="20">
    <w:p w:rsidR="00DB4F2F" w:rsidRPr="00013AFB" w:rsidRDefault="00DB4F2F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21">
    <w:p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2">
    <w:p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3">
    <w:p w:rsidR="00DB4F2F" w:rsidRPr="002E11F5" w:rsidRDefault="00DB4F2F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4">
    <w:p w:rsidR="00DB4F2F" w:rsidRPr="00013AFB" w:rsidRDefault="00DB4F2F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5">
    <w:p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3" w:name="_Hlk493575490"/>
      <w:r w:rsidRPr="00013AFB">
        <w:t>Dotyczy konkursów ogłaszanych od dnia 28.12.2015 r. Dla konkursów ogłaszanych przed 28.12.2015 r. – zapis nieobowiązujący.</w:t>
      </w:r>
      <w:bookmarkEnd w:id="13"/>
    </w:p>
  </w:footnote>
  <w:footnote w:id="26">
    <w:p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7">
    <w:p w:rsidR="00DB4F2F" w:rsidRPr="00013AFB" w:rsidRDefault="00DB4F2F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8">
    <w:p w:rsidR="00DB4F2F" w:rsidRPr="00013AFB" w:rsidRDefault="00DB4F2F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9">
    <w:p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0">
    <w:p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1">
    <w:p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  <w:r w:rsidR="003730EB">
        <w:rPr>
          <w:rFonts w:eastAsia="Times New Roman" w:cs="Times New Roman"/>
        </w:rPr>
        <w:t xml:space="preserve"> oraz konkursu ogłoszonego w dniu 22 września 2020 r.</w:t>
      </w:r>
    </w:p>
  </w:footnote>
  <w:footnote w:id="32">
    <w:p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3">
    <w:p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34">
    <w:p w:rsidR="00DB4F2F" w:rsidRPr="00013AFB" w:rsidRDefault="00DB4F2F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5">
    <w:p w:rsidR="00DB4F2F" w:rsidRPr="00013AFB" w:rsidRDefault="00DB4F2F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6">
    <w:p w:rsidR="00DB4F2F" w:rsidRPr="00013AFB" w:rsidRDefault="00DB4F2F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7">
    <w:p w:rsidR="00DB4F2F" w:rsidRPr="00013AFB" w:rsidRDefault="00DB4F2F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8">
    <w:p w:rsidR="00DB4F2F" w:rsidRPr="00013AFB" w:rsidRDefault="00DB4F2F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9">
    <w:p w:rsidR="00DB4F2F" w:rsidRPr="00013AFB" w:rsidRDefault="00DB4F2F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492464795"/>
      <w:r w:rsidRPr="00013AFB">
        <w:t>Dotyczy konkursów ogłaszanych od dnia 16.01.2017 r. Dla konkursów ogłaszanych przed 16.01.2017 r. – zapis nieobowiązujący.</w:t>
      </w:r>
      <w:bookmarkEnd w:id="14"/>
    </w:p>
  </w:footnote>
  <w:footnote w:id="40">
    <w:p w:rsidR="00DB4F2F" w:rsidRDefault="00DB4F2F" w:rsidP="00E0122E">
      <w:pPr>
        <w:pStyle w:val="Tekstprzypisudolnego"/>
        <w:tabs>
          <w:tab w:val="left" w:pos="5490"/>
        </w:tabs>
      </w:pPr>
      <w:r>
        <w:rPr>
          <w:rStyle w:val="Odwoanieprzypisudolnego"/>
        </w:rPr>
        <w:footnoteRef/>
      </w:r>
      <w:r>
        <w:t xml:space="preserve"> </w:t>
      </w:r>
      <w:bookmarkStart w:id="15" w:name="_Hlk39495532"/>
      <w:r w:rsidRPr="001678D7">
        <w:t>D</w:t>
      </w:r>
      <w:r>
        <w:t>otyczy</w:t>
      </w:r>
      <w:r w:rsidRPr="001678D7">
        <w:t xml:space="preserve"> konkursów ogł</w:t>
      </w:r>
      <w:r>
        <w:t>a</w:t>
      </w:r>
      <w:r w:rsidRPr="001678D7">
        <w:t>sz</w:t>
      </w:r>
      <w:r>
        <w:t>a</w:t>
      </w:r>
      <w:r w:rsidRPr="001678D7">
        <w:t>nych od</w:t>
      </w:r>
      <w:r>
        <w:t xml:space="preserve"> dnia</w:t>
      </w:r>
      <w:r w:rsidRPr="001678D7">
        <w:t xml:space="preserve"> 30</w:t>
      </w:r>
      <w:r>
        <w:t>.10.</w:t>
      </w:r>
      <w:r w:rsidRPr="001678D7">
        <w:t>2019 r.</w:t>
      </w:r>
      <w:bookmarkEnd w:id="15"/>
    </w:p>
  </w:footnote>
  <w:footnote w:id="41">
    <w:p w:rsidR="00DB4F2F" w:rsidRPr="00013AFB" w:rsidRDefault="00DB4F2F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42">
    <w:p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43">
    <w:p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Nie dotyczy typu 3.3 d </w:t>
      </w:r>
      <w:r>
        <w:rPr>
          <w:rFonts w:cs="Arial"/>
        </w:rPr>
        <w:t>Wsparcie za pomocą instrumentów finansowych</w:t>
      </w:r>
    </w:p>
  </w:footnote>
  <w:footnote w:id="44">
    <w:p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5">
    <w:p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6">
    <w:p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7" w:name="_Hlk520105575"/>
      <w:r w:rsidRPr="00013AFB">
        <w:t xml:space="preserve">Dla konkursów ogłoszonych przed 16.01.2017 r.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bookmarkEnd w:id="17"/>
    </w:p>
  </w:footnote>
  <w:footnote w:id="47">
    <w:p w:rsidR="00DB4F2F" w:rsidRPr="00BF181E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</w:t>
      </w:r>
      <w:r w:rsidRPr="00E0122E">
        <w:t xml:space="preserve">oraz dla konkursu RPDS.03.04.04-IP.03-02-248/17 </w:t>
      </w:r>
      <w:r w:rsidRPr="00F8764D">
        <w:t>– 50</w:t>
      </w:r>
      <w:r w:rsidRPr="00BF181E">
        <w:t>%.</w:t>
      </w:r>
    </w:p>
  </w:footnote>
  <w:footnote w:id="48">
    <w:p w:rsidR="00DB4F2F" w:rsidRPr="00013AFB" w:rsidRDefault="00DB4F2F">
      <w:pPr>
        <w:pStyle w:val="Tekstprzypisudolnego"/>
      </w:pPr>
      <w:r w:rsidRPr="00BF181E">
        <w:rPr>
          <w:rStyle w:val="Odwoanieprzypisudolnego"/>
        </w:rPr>
        <w:footnoteRef/>
      </w:r>
      <w:r w:rsidRPr="00BF181E">
        <w:t xml:space="preserve"> Dla konkursów ogłoszonych przed 16.01.2017 r</w:t>
      </w:r>
      <w:r w:rsidRPr="00F8764D">
        <w:t xml:space="preserve">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r>
        <w:t xml:space="preserve"> </w:t>
      </w:r>
      <w:bookmarkStart w:id="18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8"/>
    </w:p>
  </w:footnote>
  <w:footnote w:id="49">
    <w:p w:rsidR="00DB4F2F" w:rsidRPr="00013AFB" w:rsidRDefault="00DB4F2F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0">
    <w:p w:rsidR="00DB4F2F" w:rsidRPr="00013AFB" w:rsidRDefault="00DB4F2F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1">
    <w:p w:rsidR="00DB4F2F" w:rsidRPr="00013AFB" w:rsidRDefault="00DB4F2F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2">
    <w:p w:rsidR="00DB4F2F" w:rsidRPr="00013AFB" w:rsidRDefault="00DB4F2F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3">
    <w:p w:rsidR="00DB4F2F" w:rsidRPr="00013AFB" w:rsidRDefault="00DB4F2F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4">
    <w:p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55">
    <w:p w:rsidR="00DB4F2F" w:rsidRPr="00013AFB" w:rsidRDefault="00DB4F2F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6">
    <w:p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7">
    <w:p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8">
    <w:p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9">
    <w:p w:rsidR="00DB4F2F" w:rsidRPr="00013AFB" w:rsidRDefault="00DB4F2F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60">
    <w:p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61">
    <w:p w:rsidR="00DB4F2F" w:rsidRPr="00042236" w:rsidRDefault="00DB4F2F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62">
    <w:p w:rsidR="00DB4F2F" w:rsidRPr="00042236" w:rsidRDefault="00DB4F2F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63">
    <w:p w:rsidR="00DB4F2F" w:rsidRPr="00042236" w:rsidRDefault="00DB4F2F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4">
    <w:p w:rsidR="00DB4F2F" w:rsidRPr="00042236" w:rsidRDefault="00DB4F2F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5">
    <w:p w:rsidR="00DB4F2F" w:rsidRPr="00042236" w:rsidRDefault="00DB4F2F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6">
    <w:p w:rsidR="00DB4F2F" w:rsidRPr="00042236" w:rsidRDefault="00DB4F2F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7">
    <w:p w:rsidR="00DB4F2F" w:rsidRPr="00042236" w:rsidRDefault="00DB4F2F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68">
    <w:p w:rsidR="00DB4F2F" w:rsidRPr="00042236" w:rsidRDefault="00DB4F2F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9">
    <w:p w:rsidR="00DB4F2F" w:rsidRPr="00042236" w:rsidRDefault="00DB4F2F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70">
    <w:p w:rsidR="00DB4F2F" w:rsidRPr="00013AFB" w:rsidRDefault="00DB4F2F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71">
    <w:p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2">
    <w:p w:rsidR="00DB4F2F" w:rsidRPr="00013AFB" w:rsidRDefault="00DB4F2F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73">
    <w:p w:rsidR="00DB4F2F" w:rsidRDefault="00DB4F2F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4">
    <w:p w:rsidR="00DB4F2F" w:rsidRPr="00013AFB" w:rsidRDefault="00DB4F2F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5">
    <w:p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Dotyczy konkursów ogłaszanych do dnia 21.05.2018 r. </w:t>
      </w:r>
      <w:r>
        <w:t xml:space="preserve">oraz konkursu ogłaszanego 20.12.2019 r. </w:t>
      </w:r>
      <w:r w:rsidRPr="00995C0A">
        <w:t>Dla konkursów ogłaszanych po 21.05.2018 r. – zapis nieobowiązujący</w:t>
      </w:r>
      <w:r>
        <w:t xml:space="preserve"> </w:t>
      </w:r>
      <w:r w:rsidRPr="002F17A7">
        <w:t xml:space="preserve"> </w:t>
      </w:r>
      <w:r>
        <w:t xml:space="preserve">(w </w:t>
      </w:r>
      <w:r w:rsidRPr="002F17A7">
        <w:t>przypadku konkursu ogłaszanego 20.12.2019 r. – zapis obowiązujący</w:t>
      </w:r>
      <w:r>
        <w:t>)</w:t>
      </w:r>
      <w:r w:rsidRPr="00995C0A">
        <w:t>.</w:t>
      </w:r>
    </w:p>
  </w:footnote>
  <w:footnote w:id="76">
    <w:p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Times New Roman" w:cs="Times New Roman"/>
        </w:rPr>
        <w:t xml:space="preserve">W naborach na szkolnictwo zawodowe (dotyczy konkursów </w:t>
      </w:r>
      <w:r>
        <w:t>ogłaszanych od 20.12.2019 r.)</w:t>
      </w:r>
      <w:r>
        <w:rPr>
          <w:rFonts w:eastAsia="Times New Roman" w:cs="Times New Roman"/>
        </w:rPr>
        <w:t xml:space="preserve"> w przypadku zespołów szkół specjalnych </w:t>
      </w:r>
      <w:r w:rsidRPr="00A9043C">
        <w:rPr>
          <w:rFonts w:eastAsia="Times New Roman" w:cs="Times New Roman"/>
        </w:rPr>
        <w:t xml:space="preserve">możliwe jest sfinansowanie w ramach projektu </w:t>
      </w:r>
      <w:r w:rsidRPr="00C61726">
        <w:rPr>
          <w:rFonts w:eastAsia="Times New Roman" w:cs="Times New Roman"/>
          <w:b/>
        </w:rPr>
        <w:t>części wspólnych budynku</w:t>
      </w:r>
      <w:r w:rsidRPr="00A9043C">
        <w:rPr>
          <w:rFonts w:eastAsia="Times New Roman" w:cs="Times New Roman"/>
        </w:rPr>
        <w:t>, w który</w:t>
      </w:r>
      <w:r>
        <w:rPr>
          <w:rFonts w:eastAsia="Times New Roman" w:cs="Times New Roman"/>
        </w:rPr>
        <w:t>ch</w:t>
      </w:r>
      <w:r w:rsidRPr="00A9043C">
        <w:rPr>
          <w:rFonts w:eastAsia="Times New Roman" w:cs="Times New Roman"/>
        </w:rPr>
        <w:t xml:space="preserve"> prowadzone jest kształcenie ogólne (także na poziomie podstawowym), np. sali gimnastycznej, korytarza, dachu.</w:t>
      </w:r>
      <w:r>
        <w:rPr>
          <w:rFonts w:eastAsia="Times New Roman" w:cs="Times New Roman"/>
        </w:rPr>
        <w:t xml:space="preserve"> </w:t>
      </w:r>
    </w:p>
  </w:footnote>
  <w:footnote w:id="77">
    <w:p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2F" w:rsidRDefault="00DB4F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60F0F17"/>
    <w:multiLevelType w:val="hybridMultilevel"/>
    <w:tmpl w:val="3D1A7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07BC8"/>
    <w:multiLevelType w:val="hybridMultilevel"/>
    <w:tmpl w:val="ECA29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3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419E6"/>
    <w:multiLevelType w:val="hybridMultilevel"/>
    <w:tmpl w:val="65B0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62EAC"/>
    <w:multiLevelType w:val="hybridMultilevel"/>
    <w:tmpl w:val="C6D8D4BE"/>
    <w:lvl w:ilvl="0" w:tplc="1FC643B8">
      <w:start w:val="1"/>
      <w:numFmt w:val="upperLetter"/>
      <w:lvlText w:val="4.4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4"/>
  </w:num>
  <w:num w:numId="5">
    <w:abstractNumId w:val="1"/>
  </w:num>
  <w:num w:numId="6">
    <w:abstractNumId w:val="16"/>
  </w:num>
  <w:num w:numId="7">
    <w:abstractNumId w:val="0"/>
  </w:num>
  <w:num w:numId="8">
    <w:abstractNumId w:val="11"/>
  </w:num>
  <w:num w:numId="9">
    <w:abstractNumId w:val="37"/>
  </w:num>
  <w:num w:numId="10">
    <w:abstractNumId w:val="25"/>
  </w:num>
  <w:num w:numId="11">
    <w:abstractNumId w:val="18"/>
  </w:num>
  <w:num w:numId="12">
    <w:abstractNumId w:val="17"/>
  </w:num>
  <w:num w:numId="13">
    <w:abstractNumId w:val="35"/>
  </w:num>
  <w:num w:numId="14">
    <w:abstractNumId w:val="9"/>
  </w:num>
  <w:num w:numId="15">
    <w:abstractNumId w:val="29"/>
  </w:num>
  <w:num w:numId="16">
    <w:abstractNumId w:val="33"/>
  </w:num>
  <w:num w:numId="17">
    <w:abstractNumId w:val="31"/>
  </w:num>
  <w:num w:numId="18">
    <w:abstractNumId w:val="36"/>
  </w:num>
  <w:num w:numId="19">
    <w:abstractNumId w:val="23"/>
  </w:num>
  <w:num w:numId="20">
    <w:abstractNumId w:val="14"/>
  </w:num>
  <w:num w:numId="21">
    <w:abstractNumId w:val="7"/>
  </w:num>
  <w:num w:numId="22">
    <w:abstractNumId w:val="2"/>
  </w:num>
  <w:num w:numId="23">
    <w:abstractNumId w:val="28"/>
  </w:num>
  <w:num w:numId="24">
    <w:abstractNumId w:val="34"/>
  </w:num>
  <w:num w:numId="25">
    <w:abstractNumId w:val="8"/>
  </w:num>
  <w:num w:numId="26">
    <w:abstractNumId w:val="32"/>
  </w:num>
  <w:num w:numId="27">
    <w:abstractNumId w:val="15"/>
  </w:num>
  <w:num w:numId="28">
    <w:abstractNumId w:val="19"/>
  </w:num>
  <w:num w:numId="29">
    <w:abstractNumId w:val="40"/>
  </w:num>
  <w:num w:numId="30">
    <w:abstractNumId w:val="39"/>
  </w:num>
  <w:num w:numId="31">
    <w:abstractNumId w:val="0"/>
  </w:num>
  <w:num w:numId="32">
    <w:abstractNumId w:val="10"/>
  </w:num>
  <w:num w:numId="33">
    <w:abstractNumId w:val="26"/>
  </w:num>
  <w:num w:numId="34">
    <w:abstractNumId w:val="6"/>
  </w:num>
  <w:num w:numId="35">
    <w:abstractNumId w:val="30"/>
  </w:num>
  <w:num w:numId="36">
    <w:abstractNumId w:val="41"/>
  </w:num>
  <w:num w:numId="37">
    <w:abstractNumId w:val="20"/>
  </w:num>
  <w:num w:numId="38">
    <w:abstractNumId w:val="27"/>
  </w:num>
  <w:num w:numId="39">
    <w:abstractNumId w:val="22"/>
  </w:num>
  <w:num w:numId="40">
    <w:abstractNumId w:val="38"/>
  </w:num>
  <w:num w:numId="41">
    <w:abstractNumId w:val="21"/>
  </w:num>
  <w:num w:numId="42">
    <w:abstractNumId w:val="24"/>
  </w:num>
  <w:num w:numId="43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6B"/>
    <w:rsid w:val="00000C17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17E28"/>
    <w:rsid w:val="0002135C"/>
    <w:rsid w:val="000246BF"/>
    <w:rsid w:val="00025329"/>
    <w:rsid w:val="00025963"/>
    <w:rsid w:val="0003417B"/>
    <w:rsid w:val="0003532D"/>
    <w:rsid w:val="00042236"/>
    <w:rsid w:val="00052188"/>
    <w:rsid w:val="00052964"/>
    <w:rsid w:val="00052D63"/>
    <w:rsid w:val="000543A5"/>
    <w:rsid w:val="00060332"/>
    <w:rsid w:val="000608D2"/>
    <w:rsid w:val="000659B6"/>
    <w:rsid w:val="00066EE6"/>
    <w:rsid w:val="0008176A"/>
    <w:rsid w:val="000824FA"/>
    <w:rsid w:val="00083768"/>
    <w:rsid w:val="00083CEF"/>
    <w:rsid w:val="00084916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53A4"/>
    <w:rsid w:val="000B01E1"/>
    <w:rsid w:val="000B0270"/>
    <w:rsid w:val="000B129E"/>
    <w:rsid w:val="000B469C"/>
    <w:rsid w:val="000B4D29"/>
    <w:rsid w:val="000C3A67"/>
    <w:rsid w:val="000C582F"/>
    <w:rsid w:val="000C763D"/>
    <w:rsid w:val="000D0455"/>
    <w:rsid w:val="000D0C61"/>
    <w:rsid w:val="000D1933"/>
    <w:rsid w:val="000D51E7"/>
    <w:rsid w:val="000E0CA5"/>
    <w:rsid w:val="000E1A11"/>
    <w:rsid w:val="000E1DB0"/>
    <w:rsid w:val="000E298A"/>
    <w:rsid w:val="000E7698"/>
    <w:rsid w:val="000F001B"/>
    <w:rsid w:val="000F27B2"/>
    <w:rsid w:val="000F49C6"/>
    <w:rsid w:val="000F6F00"/>
    <w:rsid w:val="000F7BBA"/>
    <w:rsid w:val="000F7BCE"/>
    <w:rsid w:val="0010120B"/>
    <w:rsid w:val="00101EF8"/>
    <w:rsid w:val="00102803"/>
    <w:rsid w:val="00102960"/>
    <w:rsid w:val="00102DDD"/>
    <w:rsid w:val="00103C88"/>
    <w:rsid w:val="00105CE8"/>
    <w:rsid w:val="00106049"/>
    <w:rsid w:val="001113B7"/>
    <w:rsid w:val="001116F8"/>
    <w:rsid w:val="00111E58"/>
    <w:rsid w:val="00112C79"/>
    <w:rsid w:val="00113C5E"/>
    <w:rsid w:val="001145A6"/>
    <w:rsid w:val="001149C0"/>
    <w:rsid w:val="00117082"/>
    <w:rsid w:val="001213D3"/>
    <w:rsid w:val="00122E9E"/>
    <w:rsid w:val="00133041"/>
    <w:rsid w:val="00133D89"/>
    <w:rsid w:val="00134C78"/>
    <w:rsid w:val="001360A7"/>
    <w:rsid w:val="00144BB9"/>
    <w:rsid w:val="00145381"/>
    <w:rsid w:val="00146477"/>
    <w:rsid w:val="00161A28"/>
    <w:rsid w:val="001639F2"/>
    <w:rsid w:val="00165F60"/>
    <w:rsid w:val="00166557"/>
    <w:rsid w:val="001678D7"/>
    <w:rsid w:val="00167C31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866BB"/>
    <w:rsid w:val="0019266F"/>
    <w:rsid w:val="00195883"/>
    <w:rsid w:val="00195F10"/>
    <w:rsid w:val="001A68EE"/>
    <w:rsid w:val="001B07A5"/>
    <w:rsid w:val="001B1966"/>
    <w:rsid w:val="001B53D6"/>
    <w:rsid w:val="001B568C"/>
    <w:rsid w:val="001B56C8"/>
    <w:rsid w:val="001B5A3E"/>
    <w:rsid w:val="001B7507"/>
    <w:rsid w:val="001C2CCF"/>
    <w:rsid w:val="001C5E65"/>
    <w:rsid w:val="001D03FF"/>
    <w:rsid w:val="001D14A0"/>
    <w:rsid w:val="001D4A2D"/>
    <w:rsid w:val="001E1928"/>
    <w:rsid w:val="001E33E2"/>
    <w:rsid w:val="001E5257"/>
    <w:rsid w:val="001E5BD1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31423"/>
    <w:rsid w:val="00240C18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74C6E"/>
    <w:rsid w:val="00277C45"/>
    <w:rsid w:val="0028003C"/>
    <w:rsid w:val="002800FC"/>
    <w:rsid w:val="00283048"/>
    <w:rsid w:val="00283995"/>
    <w:rsid w:val="00285E19"/>
    <w:rsid w:val="002955DC"/>
    <w:rsid w:val="002A1E9F"/>
    <w:rsid w:val="002A3B5A"/>
    <w:rsid w:val="002A5D3C"/>
    <w:rsid w:val="002B102C"/>
    <w:rsid w:val="002B4DBE"/>
    <w:rsid w:val="002B7AA0"/>
    <w:rsid w:val="002C2D96"/>
    <w:rsid w:val="002C3185"/>
    <w:rsid w:val="002C50D4"/>
    <w:rsid w:val="002C5B11"/>
    <w:rsid w:val="002D017D"/>
    <w:rsid w:val="002D3C6C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49DC"/>
    <w:rsid w:val="00304F3E"/>
    <w:rsid w:val="00306106"/>
    <w:rsid w:val="003128AA"/>
    <w:rsid w:val="00312EA2"/>
    <w:rsid w:val="00315AD7"/>
    <w:rsid w:val="00316F35"/>
    <w:rsid w:val="00321E4D"/>
    <w:rsid w:val="003260E2"/>
    <w:rsid w:val="00330410"/>
    <w:rsid w:val="0033048A"/>
    <w:rsid w:val="0033340B"/>
    <w:rsid w:val="00333CB0"/>
    <w:rsid w:val="00333D42"/>
    <w:rsid w:val="00335251"/>
    <w:rsid w:val="0034312D"/>
    <w:rsid w:val="00344CB8"/>
    <w:rsid w:val="00345201"/>
    <w:rsid w:val="003463E9"/>
    <w:rsid w:val="00351541"/>
    <w:rsid w:val="0035191C"/>
    <w:rsid w:val="00352F66"/>
    <w:rsid w:val="00355BD0"/>
    <w:rsid w:val="0035767B"/>
    <w:rsid w:val="003636F1"/>
    <w:rsid w:val="003660EA"/>
    <w:rsid w:val="00366375"/>
    <w:rsid w:val="00370D86"/>
    <w:rsid w:val="00372F2E"/>
    <w:rsid w:val="003730EB"/>
    <w:rsid w:val="003818AE"/>
    <w:rsid w:val="00384A7D"/>
    <w:rsid w:val="003852FD"/>
    <w:rsid w:val="003865F7"/>
    <w:rsid w:val="003873F4"/>
    <w:rsid w:val="003878D6"/>
    <w:rsid w:val="0039420B"/>
    <w:rsid w:val="00394D81"/>
    <w:rsid w:val="0039514F"/>
    <w:rsid w:val="003A21E8"/>
    <w:rsid w:val="003A2235"/>
    <w:rsid w:val="003A2CB6"/>
    <w:rsid w:val="003A6B11"/>
    <w:rsid w:val="003A7603"/>
    <w:rsid w:val="003B0F95"/>
    <w:rsid w:val="003B200E"/>
    <w:rsid w:val="003B2988"/>
    <w:rsid w:val="003B5299"/>
    <w:rsid w:val="003B76E4"/>
    <w:rsid w:val="003C1C25"/>
    <w:rsid w:val="003C2697"/>
    <w:rsid w:val="003C3DD4"/>
    <w:rsid w:val="003C429D"/>
    <w:rsid w:val="003C461F"/>
    <w:rsid w:val="003C4F00"/>
    <w:rsid w:val="003C6712"/>
    <w:rsid w:val="003E0BB4"/>
    <w:rsid w:val="003E3046"/>
    <w:rsid w:val="003E5F09"/>
    <w:rsid w:val="003E6A54"/>
    <w:rsid w:val="003E6A5F"/>
    <w:rsid w:val="003E740F"/>
    <w:rsid w:val="003F064E"/>
    <w:rsid w:val="003F0BE3"/>
    <w:rsid w:val="003F26A4"/>
    <w:rsid w:val="003F3E56"/>
    <w:rsid w:val="003F6BB8"/>
    <w:rsid w:val="00401E2F"/>
    <w:rsid w:val="00402CB5"/>
    <w:rsid w:val="0040430E"/>
    <w:rsid w:val="00405F6A"/>
    <w:rsid w:val="00410184"/>
    <w:rsid w:val="00420900"/>
    <w:rsid w:val="004244C9"/>
    <w:rsid w:val="00424DB0"/>
    <w:rsid w:val="00426F75"/>
    <w:rsid w:val="00431815"/>
    <w:rsid w:val="0043438C"/>
    <w:rsid w:val="0043775A"/>
    <w:rsid w:val="00437EDB"/>
    <w:rsid w:val="00440827"/>
    <w:rsid w:val="00442ACB"/>
    <w:rsid w:val="004455BC"/>
    <w:rsid w:val="0044751A"/>
    <w:rsid w:val="00450260"/>
    <w:rsid w:val="00450CD0"/>
    <w:rsid w:val="0045119D"/>
    <w:rsid w:val="0045127E"/>
    <w:rsid w:val="00454E85"/>
    <w:rsid w:val="00455244"/>
    <w:rsid w:val="004560EA"/>
    <w:rsid w:val="00467A9A"/>
    <w:rsid w:val="004721FD"/>
    <w:rsid w:val="004739A6"/>
    <w:rsid w:val="00474CDD"/>
    <w:rsid w:val="00476F64"/>
    <w:rsid w:val="004776FD"/>
    <w:rsid w:val="00480147"/>
    <w:rsid w:val="0048731C"/>
    <w:rsid w:val="004928C4"/>
    <w:rsid w:val="00492E18"/>
    <w:rsid w:val="004959BB"/>
    <w:rsid w:val="004968A6"/>
    <w:rsid w:val="004971D5"/>
    <w:rsid w:val="00497328"/>
    <w:rsid w:val="00497B20"/>
    <w:rsid w:val="004A2A2C"/>
    <w:rsid w:val="004A2B72"/>
    <w:rsid w:val="004A3FF0"/>
    <w:rsid w:val="004B1544"/>
    <w:rsid w:val="004B266A"/>
    <w:rsid w:val="004B38E8"/>
    <w:rsid w:val="004B402E"/>
    <w:rsid w:val="004B50A2"/>
    <w:rsid w:val="004D2944"/>
    <w:rsid w:val="004D36A9"/>
    <w:rsid w:val="004D6239"/>
    <w:rsid w:val="004E2152"/>
    <w:rsid w:val="004E3624"/>
    <w:rsid w:val="004E4F5F"/>
    <w:rsid w:val="004E5DB2"/>
    <w:rsid w:val="004F01DC"/>
    <w:rsid w:val="004F19B4"/>
    <w:rsid w:val="00503959"/>
    <w:rsid w:val="005100D3"/>
    <w:rsid w:val="00513F17"/>
    <w:rsid w:val="00513FA5"/>
    <w:rsid w:val="0051513D"/>
    <w:rsid w:val="0051723A"/>
    <w:rsid w:val="005207CF"/>
    <w:rsid w:val="00523226"/>
    <w:rsid w:val="005241F1"/>
    <w:rsid w:val="005241FD"/>
    <w:rsid w:val="00526548"/>
    <w:rsid w:val="00530FE3"/>
    <w:rsid w:val="00532933"/>
    <w:rsid w:val="005343C1"/>
    <w:rsid w:val="0054205A"/>
    <w:rsid w:val="00543FDD"/>
    <w:rsid w:val="00550BB3"/>
    <w:rsid w:val="005513A3"/>
    <w:rsid w:val="005514D5"/>
    <w:rsid w:val="00556119"/>
    <w:rsid w:val="00564793"/>
    <w:rsid w:val="005648B6"/>
    <w:rsid w:val="00564B2E"/>
    <w:rsid w:val="00570123"/>
    <w:rsid w:val="005713F9"/>
    <w:rsid w:val="00571E01"/>
    <w:rsid w:val="00572698"/>
    <w:rsid w:val="005748F6"/>
    <w:rsid w:val="00577616"/>
    <w:rsid w:val="00580F5D"/>
    <w:rsid w:val="00582835"/>
    <w:rsid w:val="0058440F"/>
    <w:rsid w:val="005845A4"/>
    <w:rsid w:val="005862AC"/>
    <w:rsid w:val="00587278"/>
    <w:rsid w:val="005953E3"/>
    <w:rsid w:val="005A05C2"/>
    <w:rsid w:val="005A1230"/>
    <w:rsid w:val="005A1C33"/>
    <w:rsid w:val="005A293F"/>
    <w:rsid w:val="005A2AD0"/>
    <w:rsid w:val="005A2D3C"/>
    <w:rsid w:val="005A59A6"/>
    <w:rsid w:val="005A77B8"/>
    <w:rsid w:val="005B69D1"/>
    <w:rsid w:val="005C33F4"/>
    <w:rsid w:val="005C4AA9"/>
    <w:rsid w:val="005C51F6"/>
    <w:rsid w:val="005D0B21"/>
    <w:rsid w:val="005D6DC1"/>
    <w:rsid w:val="005E0959"/>
    <w:rsid w:val="005E6D8D"/>
    <w:rsid w:val="005E77EA"/>
    <w:rsid w:val="005F13D7"/>
    <w:rsid w:val="005F25CC"/>
    <w:rsid w:val="005F2AAC"/>
    <w:rsid w:val="006152C8"/>
    <w:rsid w:val="00616985"/>
    <w:rsid w:val="00617EF1"/>
    <w:rsid w:val="006322F0"/>
    <w:rsid w:val="006324CA"/>
    <w:rsid w:val="0064152C"/>
    <w:rsid w:val="00642E37"/>
    <w:rsid w:val="0064672B"/>
    <w:rsid w:val="006503C0"/>
    <w:rsid w:val="0065628C"/>
    <w:rsid w:val="00660501"/>
    <w:rsid w:val="00661694"/>
    <w:rsid w:val="00664239"/>
    <w:rsid w:val="00665823"/>
    <w:rsid w:val="006671F6"/>
    <w:rsid w:val="0066730D"/>
    <w:rsid w:val="00667A8B"/>
    <w:rsid w:val="00672D78"/>
    <w:rsid w:val="00673263"/>
    <w:rsid w:val="006740FC"/>
    <w:rsid w:val="00681A0D"/>
    <w:rsid w:val="00681C72"/>
    <w:rsid w:val="006868A7"/>
    <w:rsid w:val="006902BC"/>
    <w:rsid w:val="00694CDD"/>
    <w:rsid w:val="00696403"/>
    <w:rsid w:val="0069710C"/>
    <w:rsid w:val="006A104F"/>
    <w:rsid w:val="006A5B75"/>
    <w:rsid w:val="006B4515"/>
    <w:rsid w:val="006B644D"/>
    <w:rsid w:val="006C1838"/>
    <w:rsid w:val="006C602E"/>
    <w:rsid w:val="006C6C95"/>
    <w:rsid w:val="006D1FF9"/>
    <w:rsid w:val="006D27E6"/>
    <w:rsid w:val="006D4ADA"/>
    <w:rsid w:val="006D56C0"/>
    <w:rsid w:val="006D610B"/>
    <w:rsid w:val="006D6172"/>
    <w:rsid w:val="006D7B9D"/>
    <w:rsid w:val="006E2D7B"/>
    <w:rsid w:val="006E42DC"/>
    <w:rsid w:val="006E71A1"/>
    <w:rsid w:val="006F0401"/>
    <w:rsid w:val="006F22C1"/>
    <w:rsid w:val="006F4601"/>
    <w:rsid w:val="00703141"/>
    <w:rsid w:val="00703557"/>
    <w:rsid w:val="00704FC5"/>
    <w:rsid w:val="0070672B"/>
    <w:rsid w:val="007120E2"/>
    <w:rsid w:val="00720BAA"/>
    <w:rsid w:val="007225B7"/>
    <w:rsid w:val="00725449"/>
    <w:rsid w:val="007341E5"/>
    <w:rsid w:val="00735BA3"/>
    <w:rsid w:val="00736F1D"/>
    <w:rsid w:val="00740D87"/>
    <w:rsid w:val="00743091"/>
    <w:rsid w:val="00744EE7"/>
    <w:rsid w:val="00746B7B"/>
    <w:rsid w:val="00751975"/>
    <w:rsid w:val="00751EAB"/>
    <w:rsid w:val="00757B00"/>
    <w:rsid w:val="00763C29"/>
    <w:rsid w:val="007668E1"/>
    <w:rsid w:val="007677DB"/>
    <w:rsid w:val="00771350"/>
    <w:rsid w:val="007717BA"/>
    <w:rsid w:val="00776AD7"/>
    <w:rsid w:val="007800B1"/>
    <w:rsid w:val="0078012E"/>
    <w:rsid w:val="00786F7B"/>
    <w:rsid w:val="0079275E"/>
    <w:rsid w:val="007942CF"/>
    <w:rsid w:val="007A0112"/>
    <w:rsid w:val="007A27A2"/>
    <w:rsid w:val="007A2810"/>
    <w:rsid w:val="007A77C8"/>
    <w:rsid w:val="007B483E"/>
    <w:rsid w:val="007B6812"/>
    <w:rsid w:val="007C14DD"/>
    <w:rsid w:val="007C18A2"/>
    <w:rsid w:val="007C4FA3"/>
    <w:rsid w:val="007C6813"/>
    <w:rsid w:val="007C6F69"/>
    <w:rsid w:val="007D39F6"/>
    <w:rsid w:val="007D41C6"/>
    <w:rsid w:val="007D58D4"/>
    <w:rsid w:val="007D7B4B"/>
    <w:rsid w:val="007F0BF7"/>
    <w:rsid w:val="007F13DD"/>
    <w:rsid w:val="007F21DE"/>
    <w:rsid w:val="007F246F"/>
    <w:rsid w:val="007F4C27"/>
    <w:rsid w:val="00801880"/>
    <w:rsid w:val="00802949"/>
    <w:rsid w:val="00806B66"/>
    <w:rsid w:val="0080714A"/>
    <w:rsid w:val="00807A53"/>
    <w:rsid w:val="0082055F"/>
    <w:rsid w:val="00821267"/>
    <w:rsid w:val="00823962"/>
    <w:rsid w:val="00823BE9"/>
    <w:rsid w:val="0082525C"/>
    <w:rsid w:val="00831130"/>
    <w:rsid w:val="00832700"/>
    <w:rsid w:val="008331B2"/>
    <w:rsid w:val="0083462E"/>
    <w:rsid w:val="00835141"/>
    <w:rsid w:val="008351E1"/>
    <w:rsid w:val="00835AEC"/>
    <w:rsid w:val="00835E34"/>
    <w:rsid w:val="00836F92"/>
    <w:rsid w:val="008409C3"/>
    <w:rsid w:val="0084221D"/>
    <w:rsid w:val="00843D11"/>
    <w:rsid w:val="00854448"/>
    <w:rsid w:val="00854498"/>
    <w:rsid w:val="0085656D"/>
    <w:rsid w:val="00856BC5"/>
    <w:rsid w:val="00857AC0"/>
    <w:rsid w:val="0086010C"/>
    <w:rsid w:val="00860533"/>
    <w:rsid w:val="008618B2"/>
    <w:rsid w:val="00862CCA"/>
    <w:rsid w:val="008640C5"/>
    <w:rsid w:val="0086410B"/>
    <w:rsid w:val="0086480A"/>
    <w:rsid w:val="00864F31"/>
    <w:rsid w:val="00870C75"/>
    <w:rsid w:val="0087477B"/>
    <w:rsid w:val="00880E60"/>
    <w:rsid w:val="00886349"/>
    <w:rsid w:val="00886E70"/>
    <w:rsid w:val="008930E6"/>
    <w:rsid w:val="00894767"/>
    <w:rsid w:val="0089612D"/>
    <w:rsid w:val="00897BAD"/>
    <w:rsid w:val="008A114E"/>
    <w:rsid w:val="008A2D71"/>
    <w:rsid w:val="008B1B4E"/>
    <w:rsid w:val="008C1CF1"/>
    <w:rsid w:val="008C29B0"/>
    <w:rsid w:val="008C40DC"/>
    <w:rsid w:val="008C55F5"/>
    <w:rsid w:val="008C79B5"/>
    <w:rsid w:val="008D002F"/>
    <w:rsid w:val="008D1920"/>
    <w:rsid w:val="008D303E"/>
    <w:rsid w:val="008D4275"/>
    <w:rsid w:val="008D669B"/>
    <w:rsid w:val="008E069B"/>
    <w:rsid w:val="008E2716"/>
    <w:rsid w:val="008E3EF3"/>
    <w:rsid w:val="008E5643"/>
    <w:rsid w:val="008E56E6"/>
    <w:rsid w:val="008E6A1E"/>
    <w:rsid w:val="008F27E5"/>
    <w:rsid w:val="008F353D"/>
    <w:rsid w:val="008F410E"/>
    <w:rsid w:val="008F42E1"/>
    <w:rsid w:val="008F7051"/>
    <w:rsid w:val="008F7969"/>
    <w:rsid w:val="009051E5"/>
    <w:rsid w:val="009074A5"/>
    <w:rsid w:val="0091185F"/>
    <w:rsid w:val="00911BE4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50A5"/>
    <w:rsid w:val="00936136"/>
    <w:rsid w:val="0094114D"/>
    <w:rsid w:val="00941D72"/>
    <w:rsid w:val="009429E9"/>
    <w:rsid w:val="00951123"/>
    <w:rsid w:val="00954E4C"/>
    <w:rsid w:val="0095520C"/>
    <w:rsid w:val="00956FC8"/>
    <w:rsid w:val="00956FE2"/>
    <w:rsid w:val="0096042C"/>
    <w:rsid w:val="0096096E"/>
    <w:rsid w:val="00961117"/>
    <w:rsid w:val="00961B4A"/>
    <w:rsid w:val="00964D42"/>
    <w:rsid w:val="00972A3D"/>
    <w:rsid w:val="00973805"/>
    <w:rsid w:val="00975738"/>
    <w:rsid w:val="0097611D"/>
    <w:rsid w:val="00981291"/>
    <w:rsid w:val="009828BB"/>
    <w:rsid w:val="00982B0D"/>
    <w:rsid w:val="00992B1E"/>
    <w:rsid w:val="00995C0A"/>
    <w:rsid w:val="009962EA"/>
    <w:rsid w:val="009964AC"/>
    <w:rsid w:val="0099764D"/>
    <w:rsid w:val="009A0121"/>
    <w:rsid w:val="009A053B"/>
    <w:rsid w:val="009A55A5"/>
    <w:rsid w:val="009A5E66"/>
    <w:rsid w:val="009B3E6D"/>
    <w:rsid w:val="009B65DB"/>
    <w:rsid w:val="009C18C1"/>
    <w:rsid w:val="009C40E3"/>
    <w:rsid w:val="009D177C"/>
    <w:rsid w:val="009D5265"/>
    <w:rsid w:val="009D79D3"/>
    <w:rsid w:val="009E21EE"/>
    <w:rsid w:val="009E2970"/>
    <w:rsid w:val="009E4114"/>
    <w:rsid w:val="009E483C"/>
    <w:rsid w:val="009E58A1"/>
    <w:rsid w:val="009F021E"/>
    <w:rsid w:val="009F303C"/>
    <w:rsid w:val="009F4425"/>
    <w:rsid w:val="009F4AB2"/>
    <w:rsid w:val="009F5B41"/>
    <w:rsid w:val="009F6A11"/>
    <w:rsid w:val="009F781F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B72"/>
    <w:rsid w:val="00A23F33"/>
    <w:rsid w:val="00A258F9"/>
    <w:rsid w:val="00A26918"/>
    <w:rsid w:val="00A30802"/>
    <w:rsid w:val="00A30804"/>
    <w:rsid w:val="00A324DC"/>
    <w:rsid w:val="00A326B2"/>
    <w:rsid w:val="00A32D90"/>
    <w:rsid w:val="00A3315B"/>
    <w:rsid w:val="00A350AB"/>
    <w:rsid w:val="00A37DF3"/>
    <w:rsid w:val="00A37FB6"/>
    <w:rsid w:val="00A4175C"/>
    <w:rsid w:val="00A4186B"/>
    <w:rsid w:val="00A41909"/>
    <w:rsid w:val="00A46F45"/>
    <w:rsid w:val="00A476E8"/>
    <w:rsid w:val="00A47A68"/>
    <w:rsid w:val="00A5400B"/>
    <w:rsid w:val="00A542B7"/>
    <w:rsid w:val="00A55E66"/>
    <w:rsid w:val="00A56179"/>
    <w:rsid w:val="00A658F6"/>
    <w:rsid w:val="00A66044"/>
    <w:rsid w:val="00A67324"/>
    <w:rsid w:val="00A70007"/>
    <w:rsid w:val="00A73672"/>
    <w:rsid w:val="00A77673"/>
    <w:rsid w:val="00A778F1"/>
    <w:rsid w:val="00A82277"/>
    <w:rsid w:val="00A82785"/>
    <w:rsid w:val="00A84477"/>
    <w:rsid w:val="00A8521C"/>
    <w:rsid w:val="00A866E2"/>
    <w:rsid w:val="00A93AE7"/>
    <w:rsid w:val="00A93DE8"/>
    <w:rsid w:val="00A94092"/>
    <w:rsid w:val="00AA1384"/>
    <w:rsid w:val="00AA5CF3"/>
    <w:rsid w:val="00AB2670"/>
    <w:rsid w:val="00AB3866"/>
    <w:rsid w:val="00AB3FFC"/>
    <w:rsid w:val="00AC4264"/>
    <w:rsid w:val="00AC51C3"/>
    <w:rsid w:val="00AD049A"/>
    <w:rsid w:val="00AD15A6"/>
    <w:rsid w:val="00AD459A"/>
    <w:rsid w:val="00AD5D87"/>
    <w:rsid w:val="00AD788D"/>
    <w:rsid w:val="00AE3F41"/>
    <w:rsid w:val="00AE4042"/>
    <w:rsid w:val="00AF3312"/>
    <w:rsid w:val="00AF3591"/>
    <w:rsid w:val="00B000CD"/>
    <w:rsid w:val="00B0374E"/>
    <w:rsid w:val="00B04376"/>
    <w:rsid w:val="00B05D0B"/>
    <w:rsid w:val="00B121F8"/>
    <w:rsid w:val="00B21109"/>
    <w:rsid w:val="00B250FA"/>
    <w:rsid w:val="00B2539D"/>
    <w:rsid w:val="00B27986"/>
    <w:rsid w:val="00B3047E"/>
    <w:rsid w:val="00B312B9"/>
    <w:rsid w:val="00B35721"/>
    <w:rsid w:val="00B3578B"/>
    <w:rsid w:val="00B37DFD"/>
    <w:rsid w:val="00B43F6B"/>
    <w:rsid w:val="00B46B35"/>
    <w:rsid w:val="00B46DBB"/>
    <w:rsid w:val="00B51850"/>
    <w:rsid w:val="00B563B1"/>
    <w:rsid w:val="00B63C7D"/>
    <w:rsid w:val="00B64C19"/>
    <w:rsid w:val="00B71741"/>
    <w:rsid w:val="00B722A5"/>
    <w:rsid w:val="00B73188"/>
    <w:rsid w:val="00B75AFB"/>
    <w:rsid w:val="00B7671C"/>
    <w:rsid w:val="00B779C7"/>
    <w:rsid w:val="00B857F0"/>
    <w:rsid w:val="00B868D8"/>
    <w:rsid w:val="00B90C4B"/>
    <w:rsid w:val="00B922A1"/>
    <w:rsid w:val="00B9633E"/>
    <w:rsid w:val="00BA0A54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6E73"/>
    <w:rsid w:val="00BB7BBA"/>
    <w:rsid w:val="00BC28D5"/>
    <w:rsid w:val="00BC45D8"/>
    <w:rsid w:val="00BC602F"/>
    <w:rsid w:val="00BD3706"/>
    <w:rsid w:val="00BD3E84"/>
    <w:rsid w:val="00BD54CF"/>
    <w:rsid w:val="00BE1B38"/>
    <w:rsid w:val="00BE4FB6"/>
    <w:rsid w:val="00BE755E"/>
    <w:rsid w:val="00BF17A3"/>
    <w:rsid w:val="00BF181E"/>
    <w:rsid w:val="00BF25CB"/>
    <w:rsid w:val="00BF6BA2"/>
    <w:rsid w:val="00BF7A1E"/>
    <w:rsid w:val="00C04A8C"/>
    <w:rsid w:val="00C06A2E"/>
    <w:rsid w:val="00C10F6C"/>
    <w:rsid w:val="00C1514B"/>
    <w:rsid w:val="00C2714F"/>
    <w:rsid w:val="00C309B2"/>
    <w:rsid w:val="00C34307"/>
    <w:rsid w:val="00C40B9D"/>
    <w:rsid w:val="00C43638"/>
    <w:rsid w:val="00C47CD0"/>
    <w:rsid w:val="00C5070A"/>
    <w:rsid w:val="00C5419D"/>
    <w:rsid w:val="00C543A1"/>
    <w:rsid w:val="00C569B0"/>
    <w:rsid w:val="00C61D29"/>
    <w:rsid w:val="00C71537"/>
    <w:rsid w:val="00C7298D"/>
    <w:rsid w:val="00C7490E"/>
    <w:rsid w:val="00C75DBF"/>
    <w:rsid w:val="00C7692F"/>
    <w:rsid w:val="00C833FC"/>
    <w:rsid w:val="00C878CC"/>
    <w:rsid w:val="00C90013"/>
    <w:rsid w:val="00C92928"/>
    <w:rsid w:val="00C92E90"/>
    <w:rsid w:val="00C943B4"/>
    <w:rsid w:val="00C94C3C"/>
    <w:rsid w:val="00C963D4"/>
    <w:rsid w:val="00CA154F"/>
    <w:rsid w:val="00CA47D9"/>
    <w:rsid w:val="00CA66C1"/>
    <w:rsid w:val="00CA76AF"/>
    <w:rsid w:val="00CA76E6"/>
    <w:rsid w:val="00CA7C2D"/>
    <w:rsid w:val="00CB18AB"/>
    <w:rsid w:val="00CB1B9E"/>
    <w:rsid w:val="00CC50C8"/>
    <w:rsid w:val="00CD30E3"/>
    <w:rsid w:val="00CD5727"/>
    <w:rsid w:val="00CE31DE"/>
    <w:rsid w:val="00CE736E"/>
    <w:rsid w:val="00CF14EF"/>
    <w:rsid w:val="00CF1577"/>
    <w:rsid w:val="00CF48B5"/>
    <w:rsid w:val="00CF7558"/>
    <w:rsid w:val="00CF7737"/>
    <w:rsid w:val="00D033AA"/>
    <w:rsid w:val="00D05269"/>
    <w:rsid w:val="00D15BC4"/>
    <w:rsid w:val="00D20920"/>
    <w:rsid w:val="00D20FA1"/>
    <w:rsid w:val="00D22318"/>
    <w:rsid w:val="00D23BF3"/>
    <w:rsid w:val="00D2466E"/>
    <w:rsid w:val="00D27EBB"/>
    <w:rsid w:val="00D3199B"/>
    <w:rsid w:val="00D3363A"/>
    <w:rsid w:val="00D347F2"/>
    <w:rsid w:val="00D34FFF"/>
    <w:rsid w:val="00D357F3"/>
    <w:rsid w:val="00D4055A"/>
    <w:rsid w:val="00D434AA"/>
    <w:rsid w:val="00D43D54"/>
    <w:rsid w:val="00D44A22"/>
    <w:rsid w:val="00D44C64"/>
    <w:rsid w:val="00D44C8D"/>
    <w:rsid w:val="00D45B3E"/>
    <w:rsid w:val="00D468AA"/>
    <w:rsid w:val="00D46B9F"/>
    <w:rsid w:val="00D51A17"/>
    <w:rsid w:val="00D53C8B"/>
    <w:rsid w:val="00D57423"/>
    <w:rsid w:val="00D57C7F"/>
    <w:rsid w:val="00D57F01"/>
    <w:rsid w:val="00D60F14"/>
    <w:rsid w:val="00D64DF9"/>
    <w:rsid w:val="00D71A33"/>
    <w:rsid w:val="00D82006"/>
    <w:rsid w:val="00D82864"/>
    <w:rsid w:val="00D82B9D"/>
    <w:rsid w:val="00D84095"/>
    <w:rsid w:val="00D908D7"/>
    <w:rsid w:val="00D9091B"/>
    <w:rsid w:val="00D93AD2"/>
    <w:rsid w:val="00D96163"/>
    <w:rsid w:val="00D962FC"/>
    <w:rsid w:val="00D96C9F"/>
    <w:rsid w:val="00D978BD"/>
    <w:rsid w:val="00DA2D40"/>
    <w:rsid w:val="00DA3EC7"/>
    <w:rsid w:val="00DA4896"/>
    <w:rsid w:val="00DA6196"/>
    <w:rsid w:val="00DB22A0"/>
    <w:rsid w:val="00DB3EEB"/>
    <w:rsid w:val="00DB4F2F"/>
    <w:rsid w:val="00DB74FC"/>
    <w:rsid w:val="00DC0D5F"/>
    <w:rsid w:val="00DC344B"/>
    <w:rsid w:val="00DC41A5"/>
    <w:rsid w:val="00DC5B91"/>
    <w:rsid w:val="00DC7B18"/>
    <w:rsid w:val="00DD0783"/>
    <w:rsid w:val="00DD09FB"/>
    <w:rsid w:val="00DD5F4B"/>
    <w:rsid w:val="00DE269E"/>
    <w:rsid w:val="00DE37BD"/>
    <w:rsid w:val="00DE4173"/>
    <w:rsid w:val="00DE67FD"/>
    <w:rsid w:val="00DE6FD6"/>
    <w:rsid w:val="00E0122E"/>
    <w:rsid w:val="00E02169"/>
    <w:rsid w:val="00E02300"/>
    <w:rsid w:val="00E06B87"/>
    <w:rsid w:val="00E073CD"/>
    <w:rsid w:val="00E11787"/>
    <w:rsid w:val="00E16F00"/>
    <w:rsid w:val="00E17D76"/>
    <w:rsid w:val="00E2040C"/>
    <w:rsid w:val="00E20765"/>
    <w:rsid w:val="00E234B5"/>
    <w:rsid w:val="00E27863"/>
    <w:rsid w:val="00E27978"/>
    <w:rsid w:val="00E32EED"/>
    <w:rsid w:val="00E35143"/>
    <w:rsid w:val="00E36E16"/>
    <w:rsid w:val="00E41533"/>
    <w:rsid w:val="00E45E07"/>
    <w:rsid w:val="00E53502"/>
    <w:rsid w:val="00E57899"/>
    <w:rsid w:val="00E64BE0"/>
    <w:rsid w:val="00E669C7"/>
    <w:rsid w:val="00E70DF4"/>
    <w:rsid w:val="00E71366"/>
    <w:rsid w:val="00E7191F"/>
    <w:rsid w:val="00E71C56"/>
    <w:rsid w:val="00E727BD"/>
    <w:rsid w:val="00E74430"/>
    <w:rsid w:val="00E7606F"/>
    <w:rsid w:val="00E76550"/>
    <w:rsid w:val="00E828B9"/>
    <w:rsid w:val="00E8327F"/>
    <w:rsid w:val="00E90646"/>
    <w:rsid w:val="00E91B98"/>
    <w:rsid w:val="00E967B2"/>
    <w:rsid w:val="00E96BDE"/>
    <w:rsid w:val="00EA19D0"/>
    <w:rsid w:val="00EA234A"/>
    <w:rsid w:val="00EA3566"/>
    <w:rsid w:val="00EA3A7A"/>
    <w:rsid w:val="00EB09C6"/>
    <w:rsid w:val="00EB1E54"/>
    <w:rsid w:val="00EC2BAC"/>
    <w:rsid w:val="00EC3A76"/>
    <w:rsid w:val="00EC68AE"/>
    <w:rsid w:val="00ED3D80"/>
    <w:rsid w:val="00ED4A1C"/>
    <w:rsid w:val="00ED53F6"/>
    <w:rsid w:val="00ED70DA"/>
    <w:rsid w:val="00ED7D28"/>
    <w:rsid w:val="00EE0968"/>
    <w:rsid w:val="00EE25F0"/>
    <w:rsid w:val="00EE2FD1"/>
    <w:rsid w:val="00EE3248"/>
    <w:rsid w:val="00EE4FE6"/>
    <w:rsid w:val="00EF14EA"/>
    <w:rsid w:val="00EF1FDC"/>
    <w:rsid w:val="00EF2232"/>
    <w:rsid w:val="00EF3887"/>
    <w:rsid w:val="00EF4269"/>
    <w:rsid w:val="00EF5114"/>
    <w:rsid w:val="00F02060"/>
    <w:rsid w:val="00F022FE"/>
    <w:rsid w:val="00F03D71"/>
    <w:rsid w:val="00F13ECD"/>
    <w:rsid w:val="00F147DD"/>
    <w:rsid w:val="00F15451"/>
    <w:rsid w:val="00F16917"/>
    <w:rsid w:val="00F1776C"/>
    <w:rsid w:val="00F2036F"/>
    <w:rsid w:val="00F23901"/>
    <w:rsid w:val="00F24B7C"/>
    <w:rsid w:val="00F24C51"/>
    <w:rsid w:val="00F35FEC"/>
    <w:rsid w:val="00F4304F"/>
    <w:rsid w:val="00F44488"/>
    <w:rsid w:val="00F54AF1"/>
    <w:rsid w:val="00F550BE"/>
    <w:rsid w:val="00F55FA8"/>
    <w:rsid w:val="00F64A55"/>
    <w:rsid w:val="00F65196"/>
    <w:rsid w:val="00F67081"/>
    <w:rsid w:val="00F709E4"/>
    <w:rsid w:val="00F739EA"/>
    <w:rsid w:val="00F73E38"/>
    <w:rsid w:val="00F766F3"/>
    <w:rsid w:val="00F8144F"/>
    <w:rsid w:val="00F8165C"/>
    <w:rsid w:val="00F8764D"/>
    <w:rsid w:val="00F87A53"/>
    <w:rsid w:val="00F932E2"/>
    <w:rsid w:val="00F965DA"/>
    <w:rsid w:val="00F96969"/>
    <w:rsid w:val="00FA2DCA"/>
    <w:rsid w:val="00FA3C79"/>
    <w:rsid w:val="00FA65C9"/>
    <w:rsid w:val="00FA6BCC"/>
    <w:rsid w:val="00FB59C0"/>
    <w:rsid w:val="00FB624B"/>
    <w:rsid w:val="00FC0A69"/>
    <w:rsid w:val="00FC247E"/>
    <w:rsid w:val="00FC3DFA"/>
    <w:rsid w:val="00FC4BFD"/>
    <w:rsid w:val="00FD33F6"/>
    <w:rsid w:val="00FD3786"/>
    <w:rsid w:val="00FD76DE"/>
    <w:rsid w:val="00FD7775"/>
    <w:rsid w:val="00FE17BC"/>
    <w:rsid w:val="00FE685B"/>
    <w:rsid w:val="00FE7E26"/>
    <w:rsid w:val="00FF172A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2CFE5-D398-4093-BD6E-2F917BF6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AF35A-2C59-4693-8DB1-2831E6C0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9667</Words>
  <Characters>58004</Characters>
  <Application>Microsoft Office Word</Application>
  <DocSecurity>0</DocSecurity>
  <Lines>483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Agnieszka Fedyk</cp:lastModifiedBy>
  <cp:revision>3</cp:revision>
  <cp:lastPrinted>2020-03-13T08:23:00Z</cp:lastPrinted>
  <dcterms:created xsi:type="dcterms:W3CDTF">2020-09-29T08:20:00Z</dcterms:created>
  <dcterms:modified xsi:type="dcterms:W3CDTF">2020-09-30T07:48:00Z</dcterms:modified>
</cp:coreProperties>
</file>