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741" w:rsidRPr="009F303C" w:rsidRDefault="00B71741" w:rsidP="005172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4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9D5265">
        <w:rPr>
          <w:rFonts w:cs="Arial"/>
          <w:sz w:val="20"/>
          <w:szCs w:val="20"/>
          <w:lang w:eastAsia="en-US"/>
        </w:rPr>
        <w:t xml:space="preserve"> </w:t>
      </w:r>
      <w:r w:rsidR="00304F3E">
        <w:rPr>
          <w:rFonts w:cs="Arial"/>
          <w:sz w:val="20"/>
          <w:szCs w:val="20"/>
          <w:lang w:eastAsia="en-US"/>
        </w:rPr>
        <w:t>27 kwietnia 2020</w:t>
      </w:r>
      <w:r w:rsidR="00681A0D">
        <w:rPr>
          <w:rFonts w:cs="Arial"/>
          <w:sz w:val="20"/>
          <w:szCs w:val="20"/>
          <w:lang w:eastAsia="en-US"/>
        </w:rPr>
        <w:t>r.</w:t>
      </w:r>
      <w:bookmarkStart w:id="0" w:name="_GoBack"/>
      <w:bookmarkEnd w:id="0"/>
    </w:p>
    <w:p w:rsidR="00BA376B" w:rsidRPr="00DD0783" w:rsidRDefault="00BA376B" w:rsidP="00C10F6C">
      <w:pPr>
        <w:spacing w:after="0" w:line="240" w:lineRule="auto"/>
        <w:ind w:left="5103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:rsidR="00BA376B" w:rsidRPr="00DD0783" w:rsidRDefault="00AC4264" w:rsidP="003C3DD4">
      <w:pPr>
        <w:pStyle w:val="ListParagraph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 EFRR”], 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Pr="00DD0783">
        <w:rPr>
          <w:rFonts w:asciiTheme="minorHAnsi" w:hAnsiTheme="minorHAnsi"/>
          <w:sz w:val="22"/>
          <w:szCs w:val="22"/>
        </w:rPr>
        <w:t>”].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FootnoteReference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</w:t>
      </w:r>
      <w:r w:rsidRPr="00DD0783">
        <w:rPr>
          <w:b/>
        </w:rPr>
        <w:lastRenderedPageBreak/>
        <w:t xml:space="preserve">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6F22C1">
        <w:rPr>
          <w:color w:val="1F497D"/>
        </w:rPr>
        <w:t xml:space="preserve">nie mają zastosowania </w:t>
      </w:r>
      <w:r w:rsidR="006F22C1">
        <w:rPr>
          <w:color w:val="1F497D"/>
        </w:rPr>
        <w:t xml:space="preserve">poniższe </w:t>
      </w:r>
      <w:r w:rsidR="006F22C1" w:rsidRPr="006F22C1">
        <w:rPr>
          <w:color w:val="1F497D"/>
        </w:rPr>
        <w:t>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FootnoteReference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FootnoteReference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9"/>
        <w:gridCol w:w="6563"/>
      </w:tblGrid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lastRenderedPageBreak/>
              <w:t>Kwalifikowalność wydatków: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FootnoteReference"/>
              </w:rPr>
              <w:footnoteReference w:id="4"/>
            </w:r>
            <w:r w:rsidRPr="00DD0783">
              <w:t>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 xml:space="preserve">biznesplanu, studium wykonalności (w przypadku, gdy ten sam wykonawca będzie w ramach jednego zamówienia opracowywał również niekwalifikowalną dokumentację projektową, np. formularz wniosku o dofinansowanie/wniosek o potwierdzenie wkładu </w:t>
            </w:r>
            <w:r w:rsidRPr="00DD0783">
              <w:lastRenderedPageBreak/>
              <w:t>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:rsidR="00A055C8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:rsidR="00894767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:rsidR="00894767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:rsidR="00A2094C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:rsidR="00A2094C" w:rsidRPr="00DD0783" w:rsidRDefault="00D57423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FootnoteReference"/>
                <w:b/>
              </w:rPr>
              <w:footnoteReference w:id="5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lastRenderedPageBreak/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DD0783" w:rsidRDefault="00751EAB" w:rsidP="00E71C56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FootnoteReference"/>
              </w:rPr>
              <w:footnoteReference w:id="7"/>
            </w:r>
            <w:r w:rsidR="00B46B35"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3B2988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FootnoteReference"/>
                <w:b/>
              </w:rPr>
              <w:footnoteReference w:id="8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FootnoteReference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 xml:space="preserve">wypadek przekroczenia ilości robót oszacowanych </w:t>
            </w:r>
            <w:r w:rsidRPr="00DD0783">
              <w:lastRenderedPageBreak/>
              <w:t>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FootnoteReference"/>
                <w:b/>
              </w:rPr>
              <w:footnoteReference w:id="10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:rsidR="00A26918" w:rsidRDefault="00A26918" w:rsidP="003B2988">
      <w:pPr>
        <w:jc w:val="both"/>
        <w:rPr>
          <w:b/>
        </w:rPr>
      </w:pPr>
    </w:p>
    <w:p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1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CD30E3" w:rsidRDefault="00A23F33" w:rsidP="00E71C56">
      <w:pPr>
        <w:pStyle w:val="ListParagraph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lastRenderedPageBreak/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:rsidR="00144BB9" w:rsidRPr="00DD0783" w:rsidRDefault="00144BB9" w:rsidP="00E71C56">
      <w:pPr>
        <w:pStyle w:val="ListParagraph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FootnoteReference"/>
          <w:rFonts w:eastAsia="Times New Roman" w:cs="Times New Roman"/>
        </w:rPr>
        <w:footnoteReference w:id="12"/>
      </w:r>
      <w:r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:rsidR="0020624F" w:rsidRPr="00DD0783" w:rsidRDefault="00EC2BA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FootnoteReference"/>
          <w:rFonts w:eastAsia="Times New Roman" w:cs="Times New Roman"/>
        </w:rPr>
        <w:footnoteReference w:id="13"/>
      </w:r>
      <w:r w:rsidRPr="00DD0783">
        <w:rPr>
          <w:rFonts w:eastAsia="Times New Roman" w:cs="Times New Roman"/>
        </w:rPr>
        <w:t>.</w:t>
      </w:r>
    </w:p>
    <w:p w:rsidR="00E17D76" w:rsidRPr="00DD0783" w:rsidRDefault="00E17D76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FootnoteReference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:rsidR="00DD5F4B" w:rsidRPr="00911BE4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FootnoteReference"/>
        </w:rPr>
        <w:footnoteReference w:id="15"/>
      </w:r>
      <w:r w:rsidR="00DD5F4B" w:rsidRPr="00DD0783">
        <w:rPr>
          <w:rStyle w:val="EndnoteReference"/>
        </w:rPr>
        <w:endnoteReference w:id="1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:rsidR="00DD5F4B" w:rsidRPr="00E71C56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:rsidR="00DD5F4B" w:rsidRDefault="00DD5F4B" w:rsidP="00DB74FC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:rsidR="00DD5F4B" w:rsidRPr="00DD0783" w:rsidRDefault="00DD5F4B" w:rsidP="003B2988">
      <w:pPr>
        <w:pStyle w:val="ListParagraph"/>
        <w:spacing w:after="0"/>
        <w:jc w:val="both"/>
      </w:pPr>
    </w:p>
    <w:p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:rsidR="00DD5F4B" w:rsidRPr="00DD0783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DD0783" w:rsidRDefault="00DD5F4B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FootnoteReference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:rsidR="00F64A55" w:rsidRPr="00DD0783" w:rsidRDefault="00F64A55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FootnoteReference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 xml:space="preserve">. </w:t>
      </w:r>
    </w:p>
    <w:p w:rsidR="001D4A2D" w:rsidRPr="00DD0783" w:rsidRDefault="001D4A2D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:rsidR="00954E4C" w:rsidRPr="00DD0783" w:rsidRDefault="00954E4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FootnoteReference"/>
        </w:rPr>
        <w:footnoteReference w:id="18"/>
      </w:r>
      <w:r w:rsidR="001213D3" w:rsidRPr="00DD0783">
        <w:t>.</w:t>
      </w:r>
    </w:p>
    <w:p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ponoszone przez Beneficjenta projektu grantowego (Grantodawcę) przekraczające 15% całkowitych wydatków kwalifikowalnych projektu grantowego.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FootnoteReference"/>
          <w:rFonts w:eastAsia="Times New Roman" w:cs="Times New Roman"/>
        </w:rPr>
        <w:footnoteReference w:id="19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FootnoteReference"/>
          <w:rFonts w:cs="Arial"/>
        </w:rPr>
        <w:footnoteReference w:id="20"/>
      </w:r>
      <w:r w:rsidRPr="00DD0783">
        <w:rPr>
          <w:rFonts w:cs="Arial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FootnoteReference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lastRenderedPageBreak/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FootnoteReference"/>
          <w:rFonts w:eastAsiaTheme="majorEastAsia" w:cstheme="majorBidi"/>
          <w:bCs/>
        </w:rPr>
        <w:footnoteReference w:id="23"/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b/>
        </w:rPr>
      </w:pP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4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Theme="majorEastAsia" w:cstheme="majorBidi"/>
          <w:b/>
          <w:bCs/>
        </w:rPr>
      </w:pPr>
    </w:p>
    <w:p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5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przeznaczone na oprogramowanie dedykowane.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FootnoteReference"/>
          <w:rFonts w:eastAsia="Times New Roman" w:cs="Times New Roman"/>
        </w:rPr>
        <w:footnoteReference w:id="26"/>
      </w:r>
      <w:r w:rsidRPr="00DD0783">
        <w:rPr>
          <w:rFonts w:eastAsia="Times New Roman" w:cs="Times New Roman"/>
        </w:rPr>
        <w:t xml:space="preserve">).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7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FootnoteReference"/>
          <w:rFonts w:eastAsia="Times New Roman" w:cs="Times New Roman"/>
        </w:rPr>
        <w:footnoteReference w:id="28"/>
      </w:r>
      <w:r w:rsidRPr="00DD0783">
        <w:rPr>
          <w:rFonts w:eastAsia="Times New Roman" w:cs="Times New Roman"/>
        </w:rPr>
        <w:t>.</w:t>
      </w:r>
    </w:p>
    <w:p w:rsidR="00A23F3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FootnoteReference"/>
          <w:rFonts w:eastAsia="Times New Roman" w:cs="Times New Roman"/>
        </w:rPr>
        <w:footnoteReference w:id="29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FootnoteReference"/>
          <w:rFonts w:eastAsia="Times New Roman" w:cs="Times New Roman"/>
          <w:b/>
        </w:rPr>
        <w:footnoteReference w:id="30"/>
      </w:r>
      <w:r>
        <w:rPr>
          <w:rFonts w:eastAsia="Times New Roman" w:cs="Times New Roman"/>
        </w:rPr>
        <w:t>:</w:t>
      </w:r>
    </w:p>
    <w:p w:rsidR="001B7507" w:rsidRPr="0054205A" w:rsidRDefault="001B7507" w:rsidP="00E71C5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:rsidR="001B7507" w:rsidRDefault="001B7507" w:rsidP="00E71C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:rsidR="009261C8" w:rsidRPr="00DD0783" w:rsidRDefault="009261C8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FootnoteReference"/>
          <w:rFonts w:eastAsia="Calibri"/>
        </w:rPr>
        <w:footnoteReference w:id="31"/>
      </w:r>
      <w:r w:rsidR="00176EB7" w:rsidRPr="00DD0783">
        <w:rPr>
          <w:rFonts w:eastAsia="Calibri"/>
        </w:rPr>
        <w:t>.</w:t>
      </w:r>
    </w:p>
    <w:p w:rsidR="00C34307" w:rsidRPr="00DD0783" w:rsidRDefault="00C34307" w:rsidP="003B2988">
      <w:pPr>
        <w:pStyle w:val="ListParagraph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lastRenderedPageBreak/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FootnoteReference"/>
        </w:rPr>
        <w:footnoteReference w:id="32"/>
      </w:r>
      <w:r w:rsidRPr="00DD0783">
        <w:t>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33"/>
      </w:r>
      <w:r w:rsidRPr="00DD0783">
        <w:rPr>
          <w:rFonts w:eastAsia="Times New Roman" w:cs="Times New Roman"/>
        </w:rPr>
        <w:t>.</w:t>
      </w:r>
    </w:p>
    <w:p w:rsidR="0089612D" w:rsidRPr="00DD0783" w:rsidRDefault="0089612D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C34307" w:rsidRPr="00DD0783" w:rsidRDefault="00C34307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FootnoteReference"/>
        </w:rPr>
        <w:footnoteReference w:id="34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FootnoteReference"/>
          <w:rFonts w:eastAsia="TTE1ABE920t00"/>
        </w:rPr>
        <w:footnoteReference w:id="35"/>
      </w:r>
      <w:r w:rsidRPr="00DD0783">
        <w:rPr>
          <w:rFonts w:eastAsia="TTE1ABE920t00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36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:rsidR="001E33E2" w:rsidRPr="00DD0783" w:rsidRDefault="001E33E2" w:rsidP="00E71C56">
      <w:pPr>
        <w:pStyle w:val="ListParagraph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FootnoteReference"/>
        </w:rPr>
        <w:footnoteReference w:id="37"/>
      </w:r>
      <w:r w:rsidRPr="00DD0783">
        <w:t>.</w:t>
      </w:r>
    </w:p>
    <w:p w:rsidR="001213D3" w:rsidRPr="00DD0783" w:rsidRDefault="001D4A2D" w:rsidP="00E71C56">
      <w:pPr>
        <w:pStyle w:val="ListParagraph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FootnoteReference"/>
          <w:rFonts w:eastAsia="Times New Roman" w:cs="Times New Roman"/>
        </w:rPr>
        <w:footnoteReference w:id="38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 xml:space="preserve">Wydatki na oświetlenie energooszczędne i wymianę innych urządzeń stanowiących wyposażenie budynku (np. windy, pompy) na energooszczędne, przekraczające wartość 10 % </w:t>
      </w:r>
      <w:r w:rsidRPr="00DD0783">
        <w:lastRenderedPageBreak/>
        <w:t>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FootnoteReference"/>
        </w:rPr>
        <w:footnoteReference w:id="39"/>
      </w:r>
      <w:r w:rsidR="00880E60">
        <w:t>.</w:t>
      </w:r>
    </w:p>
    <w:p w:rsidR="00014B07" w:rsidRPr="00DD078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:rsidR="00A23F33" w:rsidRPr="00DD0783" w:rsidRDefault="00014B07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FootnoteReference"/>
          <w:rFonts w:eastAsia="Times New Roman" w:cs="Times New Roman"/>
        </w:rPr>
        <w:footnoteReference w:id="40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:rsidR="00A23F33" w:rsidRPr="009E58A1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80E60">
        <w:rPr>
          <w:rFonts w:eastAsia="Times New Roman" w:cs="Times New Roman"/>
        </w:rPr>
        <w:t>.</w:t>
      </w:r>
    </w:p>
    <w:p w:rsidR="009C18C1" w:rsidRPr="009E58A1" w:rsidRDefault="009C18C1" w:rsidP="00E71C56">
      <w:pPr>
        <w:pStyle w:val="ListParagraph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FootnoteReference"/>
          <w:rFonts w:eastAsia="Times New Roman" w:cs="Times New Roman"/>
        </w:rPr>
        <w:footnoteReference w:id="41"/>
      </w:r>
    </w:p>
    <w:p w:rsidR="00283995" w:rsidRPr="00283995" w:rsidRDefault="00283995" w:rsidP="00E71C56">
      <w:pPr>
        <w:pStyle w:val="ListParagraph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:rsidR="00283995" w:rsidRDefault="00283995" w:rsidP="00880E60">
      <w:pPr>
        <w:pStyle w:val="ListParagraph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FootnoteReference"/>
        </w:rPr>
        <w:footnoteReference w:id="42"/>
      </w:r>
      <w:r>
        <w:t>.</w:t>
      </w:r>
    </w:p>
    <w:p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:rsidR="005241FD" w:rsidRPr="00D97D82" w:rsidRDefault="00AC51C3" w:rsidP="00E71C56">
      <w:pPr>
        <w:pStyle w:val="ListParagraph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lastRenderedPageBreak/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:rsidR="00AC51C3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:rsidR="009C18C1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:rsidR="009C18C1" w:rsidRDefault="00661694" w:rsidP="00E71C56">
      <w:pPr>
        <w:pStyle w:val="ListParagraph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:rsidR="00C43638" w:rsidRPr="00C43638" w:rsidRDefault="00C43638" w:rsidP="00C43638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FootnoteReference"/>
          <w:rFonts w:cs="Arial"/>
        </w:rPr>
        <w:footnoteReference w:id="43"/>
      </w:r>
    </w:p>
    <w:p w:rsidR="00C43638" w:rsidRPr="00DD0783" w:rsidRDefault="00C43638" w:rsidP="00E71C56">
      <w:pPr>
        <w:pStyle w:val="ListParagraph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r w:rsidR="001678D7">
        <w:rPr>
          <w:rFonts w:cs="Arial"/>
          <w:iCs/>
        </w:rPr>
        <w:t xml:space="preserve"> (dla pojedynczego grantu również obowiązuje limit 10%)</w:t>
      </w:r>
      <w:r w:rsidR="00EC68AE">
        <w:rPr>
          <w:rFonts w:cs="Arial"/>
          <w:iCs/>
        </w:rPr>
        <w:t>.</w:t>
      </w:r>
      <w:r w:rsidR="00EC68AE">
        <w:rPr>
          <w:rStyle w:val="FootnoteReference"/>
          <w:rFonts w:cs="Arial"/>
          <w:iCs/>
        </w:rPr>
        <w:footnoteReference w:id="44"/>
      </w:r>
    </w:p>
    <w:p w:rsidR="0010120B" w:rsidRDefault="0010120B" w:rsidP="001B7507">
      <w:pPr>
        <w:spacing w:after="0"/>
        <w:jc w:val="both"/>
        <w:rPr>
          <w:b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:rsidR="0043438C" w:rsidRDefault="0043438C" w:rsidP="00E71C56">
      <w:pPr>
        <w:pStyle w:val="ListParagraph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:rsidR="005514D5" w:rsidRPr="00DD0783" w:rsidRDefault="005514D5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 xml:space="preserve">, stacja tankowania paliw </w:t>
      </w:r>
      <w:r w:rsidR="00616985">
        <w:lastRenderedPageBreak/>
        <w:t>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FootnoteReference"/>
          <w:b/>
        </w:rPr>
        <w:footnoteReference w:id="45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:rsidR="00A23F3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FootnoteReference"/>
        </w:rPr>
        <w:footnoteReference w:id="46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FootnoteReference"/>
        </w:rPr>
        <w:footnoteReference w:id="47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:rsidR="00A77673" w:rsidRPr="00746B7B" w:rsidRDefault="0022532B" w:rsidP="00746B7B">
      <w:pPr>
        <w:pStyle w:val="ListParagraph"/>
        <w:numPr>
          <w:ilvl w:val="0"/>
          <w:numId w:val="30"/>
        </w:numPr>
        <w:spacing w:line="240" w:lineRule="auto"/>
        <w:ind w:left="360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8D002F">
        <w:rPr>
          <w:rFonts w:cs="Arial"/>
        </w:rPr>
        <w:t>zgodnie z definicją z ustawy z dnia 20 czerwca 1997 r. Prawo o ruchu drogowym</w:t>
      </w:r>
      <w:r w:rsidR="00746B7B">
        <w:rPr>
          <w:rFonts w:cs="Arial"/>
        </w:rPr>
        <w:t>.</w:t>
      </w:r>
      <w:r w:rsidR="0009794A" w:rsidRPr="008D002F">
        <w:rPr>
          <w:rFonts w:cs="Arial"/>
        </w:rPr>
        <w:t xml:space="preserve"> </w:t>
      </w:r>
      <w:r w:rsidR="001113B7"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="001113B7" w:rsidRPr="008D002F">
        <w:rPr>
          <w:rFonts w:cs="Arial"/>
        </w:rPr>
        <w:t>3.4 e</w:t>
      </w:r>
      <w:r w:rsidR="001113B7"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:rsidR="001113B7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:rsidR="001113B7" w:rsidRPr="00B43F6B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:rsidR="000E1A11" w:rsidRPr="0009794A" w:rsidRDefault="000E1A11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:rsidR="00E74430" w:rsidRPr="00E74430" w:rsidRDefault="00A23F33" w:rsidP="00E74430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lastRenderedPageBreak/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:rsidR="00A23F33" w:rsidRDefault="00A23F33" w:rsidP="00E71C56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2D017D" w:rsidRDefault="00455244" w:rsidP="002F5739">
      <w:pPr>
        <w:pStyle w:val="ListParagraph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:rsidR="00455244" w:rsidRPr="0028003C" w:rsidRDefault="00455244" w:rsidP="002F5739">
      <w:pPr>
        <w:pStyle w:val="ListParagraph"/>
        <w:spacing w:after="0"/>
        <w:jc w:val="both"/>
        <w:rPr>
          <w:rFonts w:cs="Times New Roman"/>
        </w:rPr>
      </w:pPr>
    </w:p>
    <w:p w:rsidR="006B4515" w:rsidRDefault="006B4515" w:rsidP="003B2988">
      <w:pPr>
        <w:pStyle w:val="ListParagraph"/>
        <w:spacing w:after="0"/>
        <w:ind w:left="714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:rsidR="006B4515" w:rsidRPr="00DD0783" w:rsidRDefault="006B4515" w:rsidP="003B2988">
      <w:pPr>
        <w:pStyle w:val="ListParagraph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:rsidR="000F7BCE" w:rsidRDefault="00A23F33" w:rsidP="00B43F6B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:rsidR="001E5BD1" w:rsidRPr="00D109AA" w:rsidRDefault="000F7BCE" w:rsidP="00B43F6B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>na zwiększenie dostępności do dofinansowywanej infrastruktury np.</w:t>
      </w:r>
      <w:r w:rsidR="001E5BD1">
        <w:t xml:space="preserve"> w postaci ścieżek rowerowych</w:t>
      </w:r>
      <w:r w:rsidR="001E5BD1" w:rsidRPr="00D109AA">
        <w:t xml:space="preserve"> (z wyłączeniem dróg publicznych w rozumieniu ustawy z dnia 21 marca 1985 r. o drogach publicznych)</w:t>
      </w:r>
      <w:r w:rsidR="001E5BD1">
        <w:t xml:space="preserve"> – dot. schem</w:t>
      </w:r>
      <w:r w:rsidR="005D6DC1">
        <w:t>a</w:t>
      </w:r>
      <w:r w:rsidR="001E5BD1">
        <w:t>tu 4.4.H</w:t>
      </w:r>
    </w:p>
    <w:p w:rsidR="001E5BD1" w:rsidRDefault="001E5BD1" w:rsidP="00B43F6B">
      <w:pPr>
        <w:pStyle w:val="ListParagraph"/>
        <w:spacing w:after="0"/>
        <w:jc w:val="both"/>
      </w:pPr>
    </w:p>
    <w:p w:rsidR="001E5BD1" w:rsidRDefault="001E5BD1" w:rsidP="00B43F6B">
      <w:pPr>
        <w:pStyle w:val="ListParagraph"/>
        <w:spacing w:after="0"/>
        <w:jc w:val="both"/>
      </w:pPr>
    </w:p>
    <w:p w:rsidR="001B7507" w:rsidRPr="00DD0783" w:rsidRDefault="001B7507" w:rsidP="001B7507">
      <w:pPr>
        <w:pStyle w:val="ListParagraph"/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5.1 Drogowa dostępność transportowa: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FootnoteReference"/>
        </w:rPr>
        <w:footnoteReference w:id="48"/>
      </w:r>
      <w:r w:rsidRPr="00DD0783">
        <w:t xml:space="preserve"> można uznać za kwalifikowalne zgodnie z poniższymi regułami: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FootnoteReference"/>
        </w:rPr>
        <w:footnoteReference w:id="49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FootnoteReference"/>
        </w:rPr>
        <w:footnoteReference w:id="50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 xml:space="preserve">Wydatki na zakup środków transportu nieposiadających świadectwa/certyfikatu dopuszczenia określonego typu pojazdu kolejowego do eksploatacji na obszarze Rzeczypospolitej Polskiej (spełnienia wymogów np. bezpieczeństwa, środowiskowych, </w:t>
      </w:r>
      <w:r w:rsidRPr="00DD0783">
        <w:lastRenderedPageBreak/>
        <w:t>technicznych oraz dotyczących przewozu osób niepełnosprawnych), wydanych przez Urząd Transportu Kolejowego.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1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2"/>
      </w:r>
      <w:r w:rsidRPr="00DD0783">
        <w:t xml:space="preserve"> – w 6.1 C, D, 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:rsidR="00A70007" w:rsidRPr="00DD0783" w:rsidRDefault="00A70007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FootnoteReference"/>
          <w:b/>
        </w:rPr>
        <w:footnoteReference w:id="53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FootnoteReference"/>
        </w:rPr>
        <w:footnoteReference w:id="54"/>
      </w:r>
      <w:r w:rsidRPr="00DD0783">
        <w:t>.</w:t>
      </w:r>
    </w:p>
    <w:p w:rsidR="006B4515" w:rsidRPr="00DD0783" w:rsidRDefault="006B4515" w:rsidP="003B2988">
      <w:pPr>
        <w:pStyle w:val="ListParagraph"/>
        <w:spacing w:after="0"/>
        <w:ind w:left="714"/>
        <w:jc w:val="both"/>
        <w:rPr>
          <w:b/>
        </w:rPr>
      </w:pPr>
    </w:p>
    <w:p w:rsidR="00897BAD" w:rsidRDefault="00FD7775" w:rsidP="001B7507">
      <w:pPr>
        <w:pStyle w:val="ListParagraph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</w:t>
      </w:r>
      <w:r w:rsidR="00897BAD">
        <w:rPr>
          <w:b/>
        </w:rPr>
        <w:t xml:space="preserve"> </w:t>
      </w:r>
    </w:p>
    <w:p w:rsidR="00A23F33" w:rsidRPr="00DD0783" w:rsidRDefault="00897BAD" w:rsidP="001B7507">
      <w:pPr>
        <w:pStyle w:val="ListParagraph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związane z termomodernizacją,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FootnoteReference"/>
        </w:rPr>
        <w:footnoteReference w:id="55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FootnoteReference"/>
          <w:u w:val="single"/>
        </w:rPr>
        <w:footnoteReference w:id="56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FootnoteReference"/>
          <w:u w:val="single"/>
        </w:rPr>
        <w:footnoteReference w:id="57"/>
      </w:r>
      <w:r w:rsidRPr="00DD0783">
        <w:t>.</w:t>
      </w:r>
    </w:p>
    <w:p w:rsidR="005953E3" w:rsidRDefault="005953E3" w:rsidP="004F19B4">
      <w:pPr>
        <w:pStyle w:val="ListParagraph"/>
        <w:jc w:val="both"/>
      </w:pPr>
    </w:p>
    <w:p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:rsidR="00897BAD" w:rsidRPr="00DD0783" w:rsidRDefault="00897BAD" w:rsidP="00897BAD">
      <w:pPr>
        <w:pStyle w:val="ListParagraph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:rsidR="00835E34" w:rsidRPr="004F19B4" w:rsidRDefault="00835E34" w:rsidP="004F19B4">
      <w:pPr>
        <w:pStyle w:val="ListParagraph"/>
        <w:numPr>
          <w:ilvl w:val="0"/>
          <w:numId w:val="5"/>
        </w:numPr>
        <w:jc w:val="both"/>
      </w:pPr>
      <w:r w:rsidRPr="004F19B4">
        <w:t>Wydatki wykraczające poza zakres rzeczowy ustalony z wojewodą dolnośląskim i</w:t>
      </w:r>
      <w:r w:rsidR="00B90C4B">
        <w:t> </w:t>
      </w:r>
      <w:r w:rsidRPr="004F19B4">
        <w:t>wojewódzkim konsultantem ds. chorób zakaźnych</w:t>
      </w:r>
      <w:r w:rsidR="00B90C4B" w:rsidRPr="004F19B4">
        <w:t>.</w:t>
      </w:r>
    </w:p>
    <w:p w:rsidR="006B4515" w:rsidRDefault="006B4515" w:rsidP="003B2988">
      <w:pPr>
        <w:pStyle w:val="ListParagraph"/>
        <w:jc w:val="both"/>
      </w:pPr>
    </w:p>
    <w:p w:rsidR="004F19B4" w:rsidRPr="00DD0783" w:rsidRDefault="004F19B4" w:rsidP="003B2988">
      <w:pPr>
        <w:pStyle w:val="ListParagraph"/>
        <w:jc w:val="both"/>
      </w:pPr>
    </w:p>
    <w:p w:rsidR="00A23F33" w:rsidRPr="00DD0783" w:rsidRDefault="00FD7775" w:rsidP="003B2988">
      <w:pPr>
        <w:pStyle w:val="ListParagraph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8"/>
      </w:r>
      <w:r w:rsidRPr="00DD0783">
        <w:t>.</w:t>
      </w:r>
    </w:p>
    <w:p w:rsidR="00042236" w:rsidRPr="00DD0783" w:rsidRDefault="00FC3DFA" w:rsidP="00E71C56">
      <w:pPr>
        <w:pStyle w:val="ListParagraph"/>
        <w:numPr>
          <w:ilvl w:val="0"/>
          <w:numId w:val="12"/>
        </w:numPr>
        <w:jc w:val="both"/>
      </w:pPr>
      <w:bookmarkStart w:id="17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FootnoteReference"/>
        </w:rPr>
        <w:footnoteReference w:id="59"/>
      </w:r>
      <w:r w:rsidR="003C461F" w:rsidRPr="00DD0783">
        <w:t xml:space="preserve"> </w:t>
      </w:r>
      <w:bookmarkEnd w:id="17"/>
      <w:r w:rsidR="00B27986">
        <w:t xml:space="preserve"> </w:t>
      </w:r>
      <w:r w:rsidRPr="00DD0783">
        <w:rPr>
          <w:vertAlign w:val="superscript"/>
        </w:rPr>
        <w:footnoteReference w:id="60"/>
      </w:r>
      <w:r w:rsidRPr="00DD0783">
        <w:t>.</w:t>
      </w:r>
      <w:bookmarkStart w:id="18" w:name="_Hlk493154503"/>
    </w:p>
    <w:p w:rsidR="00835141" w:rsidRPr="00DD0783" w:rsidRDefault="00835141" w:rsidP="00E71C56">
      <w:pPr>
        <w:pStyle w:val="ListParagraph"/>
        <w:numPr>
          <w:ilvl w:val="0"/>
          <w:numId w:val="12"/>
        </w:numPr>
        <w:jc w:val="both"/>
      </w:pPr>
      <w:r w:rsidRPr="00DD0783">
        <w:lastRenderedPageBreak/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FootnoteReference"/>
        </w:rPr>
        <w:footnoteReference w:id="61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FootnoteReference"/>
        </w:rPr>
        <w:footnoteReference w:id="62"/>
      </w:r>
      <w:r w:rsidRPr="00DD0783">
        <w:t xml:space="preserve">) </w:t>
      </w:r>
      <w:bookmarkEnd w:id="18"/>
      <w:r w:rsidRPr="00DD0783">
        <w:rPr>
          <w:rStyle w:val="FootnoteReference"/>
        </w:rPr>
        <w:footnoteReference w:id="63"/>
      </w:r>
      <w:r w:rsidRPr="00DD0783">
        <w:t>.</w:t>
      </w:r>
    </w:p>
    <w:p w:rsidR="00A23F33" w:rsidRPr="00DD0783" w:rsidRDefault="00042236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FootnoteReference"/>
        </w:rPr>
        <w:footnoteReference w:id="64"/>
      </w:r>
      <w:r w:rsidR="00981291"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FootnoteReference"/>
          <w:rFonts w:eastAsia="Times New Roman" w:cs="Times New Roman"/>
        </w:rPr>
        <w:footnoteReference w:id="65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FootnoteReference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FootnoteReference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FootnoteReference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9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zakup używanych środków trwałych.</w:t>
      </w:r>
    </w:p>
    <w:p w:rsidR="00FA6BCC" w:rsidRPr="00DD0783" w:rsidRDefault="00FA6BCC" w:rsidP="00E71C56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0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19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19"/>
      <w:r w:rsidR="00A23F33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FootnoteReference"/>
        </w:rPr>
        <w:footnoteReference w:id="71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FootnoteReference"/>
          <w:rFonts w:eastAsia="Times New Roman" w:cs="Times New Roman"/>
        </w:rPr>
        <w:footnoteReference w:id="72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0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3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FootnoteReference"/>
          <w:rFonts w:eastAsia="Times New Roman" w:cs="Times New Roman"/>
        </w:rPr>
        <w:footnoteReference w:id="74"/>
      </w:r>
      <w:r w:rsidRPr="00DD0783">
        <w:rPr>
          <w:rFonts w:eastAsia="Times New Roman" w:cs="Times New Roman"/>
        </w:rPr>
        <w:t>.</w:t>
      </w:r>
    </w:p>
    <w:p w:rsidR="009828BB" w:rsidRPr="00DD0783" w:rsidRDefault="009828BB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1" w:name="_Hlk21428619"/>
      <w:bookmarkEnd w:id="20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1"/>
      <w:r>
        <w:rPr>
          <w:rStyle w:val="FootnoteReference"/>
          <w:rFonts w:eastAsia="Times New Roman" w:cs="Times New Roman"/>
        </w:rPr>
        <w:footnoteReference w:id="75"/>
      </w:r>
      <w:r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DD0783" w:rsidRDefault="00243F87" w:rsidP="00E71C56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6"/>
      </w:r>
      <w:r w:rsidRPr="00DD0783">
        <w:rPr>
          <w:rFonts w:eastAsia="Times New Roman" w:cs="Times New Roman"/>
        </w:rPr>
        <w:t>.</w:t>
      </w:r>
    </w:p>
    <w:p w:rsidR="00EA19D0" w:rsidRPr="00025329" w:rsidRDefault="00A23F33" w:rsidP="00E71C56">
      <w:pPr>
        <w:pStyle w:val="ListParagraph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:rsidR="00025329" w:rsidRDefault="00025329" w:rsidP="00025329">
      <w:pPr>
        <w:pStyle w:val="ListParagraph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:rsidR="00025329" w:rsidRPr="00025329" w:rsidRDefault="00025329" w:rsidP="00F67081">
      <w:pPr>
        <w:pStyle w:val="ListParagraph"/>
        <w:tabs>
          <w:tab w:val="left" w:pos="5330"/>
        </w:tabs>
        <w:spacing w:line="240" w:lineRule="auto"/>
        <w:jc w:val="both"/>
        <w:rPr>
          <w:b/>
        </w:rPr>
      </w:pPr>
    </w:p>
    <w:p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</w:pPr>
      <w:r>
        <w:lastRenderedPageBreak/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:rsidR="00526548" w:rsidRPr="007C5B3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:rsidR="0052654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koszty sprzątania pomieszczeń związanych z obsługą administracyjną projektu, w tym środki do utrzymania ich czystości oraz dezynsekcję, dezynfekcję, deratyzację tych pomieszczeń,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:rsidR="00843D11" w:rsidRPr="007C5B38" w:rsidRDefault="00843D11" w:rsidP="009074A5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2E341E" w:rsidRPr="002D3C6C" w:rsidRDefault="002E341E" w:rsidP="002E341E">
      <w:pPr>
        <w:pStyle w:val="EndnoteText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843D11" w:rsidTr="00843D11">
        <w:tc>
          <w:tcPr>
            <w:tcW w:w="9062" w:type="dxa"/>
          </w:tcPr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/>
            </w:tblPr>
            <w:tblGrid>
              <w:gridCol w:w="4433"/>
              <w:gridCol w:w="4403"/>
            </w:tblGrid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CommentReference"/>
              </w:rPr>
            </w:pPr>
          </w:p>
        </w:tc>
      </w:tr>
    </w:tbl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7A0112" w:rsidRDefault="00526548" w:rsidP="007A0112">
      <w:pPr>
        <w:spacing w:before="120" w:after="120"/>
        <w:jc w:val="both"/>
      </w:pPr>
      <w:r>
        <w:rPr>
          <w:rFonts w:cs="Calibri"/>
        </w:rPr>
        <w:lastRenderedPageBreak/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65B" w:rsidRDefault="0023765B" w:rsidP="00BA376B">
      <w:pPr>
        <w:spacing w:after="0" w:line="240" w:lineRule="auto"/>
      </w:pPr>
      <w:r>
        <w:separator/>
      </w:r>
    </w:p>
  </w:endnote>
  <w:endnote w:type="continuationSeparator" w:id="0">
    <w:p w:rsidR="0023765B" w:rsidRDefault="0023765B" w:rsidP="00BA376B">
      <w:pPr>
        <w:spacing w:after="0" w:line="240" w:lineRule="auto"/>
      </w:pPr>
      <w:r>
        <w:continuationSeparator/>
      </w:r>
    </w:p>
  </w:endnote>
  <w:endnote w:id="1">
    <w:p w:rsidR="00681C72" w:rsidRPr="002D3C6C" w:rsidRDefault="00681C72" w:rsidP="00C5419D">
      <w:pPr>
        <w:pStyle w:val="EndnoteText"/>
        <w:jc w:val="both"/>
        <w:rPr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1732661"/>
      <w:docPartObj>
        <w:docPartGallery w:val="Page Numbers (Bottom of Page)"/>
        <w:docPartUnique/>
      </w:docPartObj>
    </w:sdtPr>
    <w:sdtContent>
      <w:p w:rsidR="00681C72" w:rsidRDefault="000B23FB">
        <w:pPr>
          <w:pStyle w:val="Footer"/>
          <w:jc w:val="right"/>
        </w:pPr>
        <w:r>
          <w:fldChar w:fldCharType="begin"/>
        </w:r>
        <w:r w:rsidR="00681C72">
          <w:instrText xml:space="preserve"> PAGE   \* MERGEFORMAT </w:instrText>
        </w:r>
        <w:r>
          <w:fldChar w:fldCharType="separate"/>
        </w:r>
        <w:r w:rsidR="00845A94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681C72" w:rsidRDefault="00681C72" w:rsidP="00DC4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65B" w:rsidRDefault="0023765B" w:rsidP="00BA376B">
      <w:pPr>
        <w:spacing w:after="0" w:line="240" w:lineRule="auto"/>
      </w:pPr>
      <w:r>
        <w:separator/>
      </w:r>
    </w:p>
  </w:footnote>
  <w:footnote w:type="continuationSeparator" w:id="0">
    <w:p w:rsidR="0023765B" w:rsidRDefault="0023765B" w:rsidP="00BA376B">
      <w:pPr>
        <w:spacing w:after="0" w:line="240" w:lineRule="auto"/>
      </w:pPr>
      <w:r>
        <w:continuationSeparator/>
      </w:r>
    </w:p>
  </w:footnote>
  <w:footnote w:id="1">
    <w:p w:rsidR="00681C72" w:rsidRPr="00013AFB" w:rsidRDefault="00681C72" w:rsidP="00B2110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2">
    <w:p w:rsidR="00681C72" w:rsidRDefault="00681C72" w:rsidP="009E58A1">
      <w:pPr>
        <w:pStyle w:val="FootnoteText"/>
        <w:jc w:val="both"/>
      </w:pPr>
      <w:r w:rsidRPr="00C40B9D">
        <w:rPr>
          <w:rStyle w:val="FootnoteReference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3">
    <w:p w:rsidR="00681C72" w:rsidRPr="00013AFB" w:rsidRDefault="00681C72" w:rsidP="007F246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Termin umowa oznacza również inne dokumenty będące podstawą dofinansowania projektu, np. uchwałę czy porozumienie.</w:t>
      </w:r>
    </w:p>
    <w:p w:rsidR="00681C72" w:rsidRPr="00013AFB" w:rsidRDefault="00681C72" w:rsidP="00013AFB">
      <w:pPr>
        <w:pStyle w:val="FootnoteText"/>
        <w:jc w:val="both"/>
        <w:rPr>
          <w:b/>
        </w:rPr>
      </w:pPr>
    </w:p>
  </w:footnote>
  <w:footnote w:id="4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5">
    <w:p w:rsidR="00681C72" w:rsidRPr="00013AFB" w:rsidRDefault="00681C72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do dnia 26.10.2016 r. Dla pozostałych konkursów – zapis nieobowiązujący.</w:t>
      </w:r>
    </w:p>
    <w:p w:rsidR="00681C72" w:rsidRPr="00013AFB" w:rsidRDefault="00681C72">
      <w:pPr>
        <w:pStyle w:val="FootnoteText"/>
      </w:pPr>
    </w:p>
  </w:footnote>
  <w:footnote w:id="6">
    <w:p w:rsidR="00681C72" w:rsidRDefault="00681C72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7">
    <w:p w:rsidR="00681C72" w:rsidRPr="00013AFB" w:rsidRDefault="00681C72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Dla konkursów ogłoszonych przed 29.06.2016 r. – dotyczy odpowiednio 1.4 C i 1.4 D.</w:t>
      </w:r>
    </w:p>
  </w:footnote>
  <w:footnote w:id="8">
    <w:p w:rsidR="00681C72" w:rsidRDefault="00681C72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9">
    <w:p w:rsidR="00681C72" w:rsidRDefault="00681C72" w:rsidP="00A476E8">
      <w:pPr>
        <w:pStyle w:val="FootnoteText"/>
        <w:jc w:val="both"/>
      </w:pPr>
      <w:r>
        <w:rPr>
          <w:rStyle w:val="FootnoteReference"/>
        </w:rPr>
        <w:footnoteRef/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0">
    <w:p w:rsidR="00681C72" w:rsidRPr="00013AFB" w:rsidRDefault="00681C72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26.09.2016 r. do dnia 20.11.2016 r. Dla pozostałych konkursów – zapis nieobowiązujący.</w:t>
      </w:r>
    </w:p>
  </w:footnote>
  <w:footnote w:id="11">
    <w:p w:rsidR="00681C72" w:rsidRPr="00013AFB" w:rsidRDefault="00681C72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2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naborów do działania 1.1 ogłaszanych od października 2019 r. </w:t>
      </w:r>
    </w:p>
  </w:footnote>
  <w:footnote w:id="13">
    <w:p w:rsidR="00681C72" w:rsidRPr="002E11F5" w:rsidRDefault="00681C72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przed 16.01.2017 r. Dla konkursów ogłaszanych od dnia 16.01.2017 r. – zapis nieobowiązujący.</w:t>
      </w:r>
    </w:p>
  </w:footnote>
  <w:footnote w:id="14">
    <w:p w:rsidR="00681C72" w:rsidRPr="002E11F5" w:rsidRDefault="00681C72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 xml:space="preserve">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5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6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7">
    <w:p w:rsidR="00681C72" w:rsidRPr="002E11F5" w:rsidRDefault="00681C72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:rsidR="00681C72" w:rsidRPr="002E11F5" w:rsidRDefault="00681C72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19">
    <w:p w:rsidR="00681C72" w:rsidRPr="00013AFB" w:rsidRDefault="00681C72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0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1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:rsidR="00681C72" w:rsidRPr="002E11F5" w:rsidRDefault="00681C72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3">
    <w:p w:rsidR="00681C72" w:rsidRPr="00013AFB" w:rsidRDefault="00681C72" w:rsidP="00013AFB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4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5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28.12.2015 r. Dla konkursów ogłaszanych przed 28.12.2015 r. – zapis nieobowiązujący.</w:t>
      </w:r>
    </w:p>
  </w:footnote>
  <w:footnote w:id="26">
    <w:p w:rsidR="00681C72" w:rsidRPr="00013AFB" w:rsidRDefault="00681C72" w:rsidP="00B46B35">
      <w:pPr>
        <w:pStyle w:val="FootnoteText"/>
        <w:jc w:val="both"/>
      </w:pPr>
      <w:r w:rsidRPr="002F4911">
        <w:rPr>
          <w:rStyle w:val="FootnoteReference"/>
        </w:rPr>
        <w:footnoteRef/>
      </w:r>
      <w:r w:rsidRPr="002F4911">
        <w:t xml:space="preserve"> </w:t>
      </w:r>
      <w:r w:rsidRPr="002F4911">
        <w:t>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7">
    <w:p w:rsidR="00681C72" w:rsidRPr="00013AFB" w:rsidRDefault="00681C72">
      <w:pPr>
        <w:pStyle w:val="FootnoteText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8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29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0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31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2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25.01.2016 r. Dla konkursów ogłaszanych od dnia 25.01.2016 r. – zapis nieobowiązujący. </w:t>
      </w:r>
    </w:p>
  </w:footnote>
  <w:footnote w:id="33">
    <w:p w:rsidR="00681C72" w:rsidRPr="00013AFB" w:rsidRDefault="00681C72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4">
    <w:p w:rsidR="00681C72" w:rsidRPr="00013AFB" w:rsidRDefault="00681C72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5">
    <w:p w:rsidR="00681C72" w:rsidRPr="00013AFB" w:rsidRDefault="00681C72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6">
    <w:p w:rsidR="00681C72" w:rsidRPr="00013AFB" w:rsidRDefault="00681C72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> </w:t>
      </w:r>
      <w:r w:rsidRPr="00013AFB">
        <w:t>Dotyczy konkursów ogłaszanych od dnia 28.12.2015 r. Dla konkursów ogłaszanych przed 28.12.2015 r. – zapis nieobowiązujący.</w:t>
      </w:r>
    </w:p>
  </w:footnote>
  <w:footnote w:id="37">
    <w:p w:rsidR="00681C72" w:rsidRPr="00013AFB" w:rsidRDefault="00681C72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8">
    <w:p w:rsidR="00681C72" w:rsidRPr="00013AFB" w:rsidRDefault="00681C72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39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78D7">
        <w:t>Dla konkursów ogłoszonych od 30 października 2019 r.</w:t>
      </w:r>
    </w:p>
  </w:footnote>
  <w:footnote w:id="40">
    <w:p w:rsidR="00681C72" w:rsidRPr="00013AFB" w:rsidRDefault="00681C72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przed 23.05.2016 r. Dla konkursów ogłaszanych od dnia 23.05.2016 r. – zapis nieobowiązujący.</w:t>
      </w:r>
    </w:p>
  </w:footnote>
  <w:footnote w:id="41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25.07.2018 r.</w:t>
      </w:r>
    </w:p>
  </w:footnote>
  <w:footnote w:id="42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Nie dotyczy typu 3.3 d </w:t>
      </w:r>
      <w:r>
        <w:rPr>
          <w:rFonts w:cs="Arial"/>
        </w:rPr>
        <w:t>Wsparcie za pomocą instrumentów finansowych</w:t>
      </w:r>
    </w:p>
  </w:footnote>
  <w:footnote w:id="43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Dla konkursów ogłoszonych od 30 października 2019 r.</w:t>
      </w:r>
    </w:p>
  </w:footnote>
  <w:footnote w:id="44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Dla konkursów ogłoszonych od 30 października 2019 r.</w:t>
      </w:r>
    </w:p>
  </w:footnote>
  <w:footnote w:id="45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5" w:name="_Hlk520105575"/>
      <w:r w:rsidRPr="00013AFB">
        <w:t xml:space="preserve">Dla konkursów ogłoszonych przed 16.01.2017 r. </w:t>
      </w:r>
      <w:r w:rsidRPr="00BF181E">
        <w:rPr>
          <w:u w:val="single"/>
        </w:rPr>
        <w:t>oraz dla konkursu RPDS.03.04.04-IP.03-02-248/17</w:t>
      </w:r>
      <w:r>
        <w:rPr>
          <w:color w:val="7030A0"/>
          <w:u w:val="single"/>
        </w:rPr>
        <w:t xml:space="preserve"> </w:t>
      </w:r>
      <w:r w:rsidRPr="00013AFB">
        <w:t>– 50%.</w:t>
      </w:r>
      <w:bookmarkEnd w:id="15"/>
    </w:p>
  </w:footnote>
  <w:footnote w:id="46">
    <w:p w:rsidR="00681C72" w:rsidRPr="00BF181E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Dla konkursów ogłoszonych przed 16.01.2017 r. </w:t>
      </w:r>
      <w:r w:rsidRPr="00BF181E">
        <w:rPr>
          <w:u w:val="single"/>
        </w:rPr>
        <w:t xml:space="preserve">oraz dla konkursu RPDS.03.04.04-IP.03-02-248/17 </w:t>
      </w:r>
      <w:r w:rsidRPr="00BF181E">
        <w:t>– 50%.</w:t>
      </w:r>
    </w:p>
  </w:footnote>
  <w:footnote w:id="47">
    <w:p w:rsidR="00681C72" w:rsidRPr="00013AFB" w:rsidRDefault="00681C72">
      <w:pPr>
        <w:pStyle w:val="FootnoteText"/>
      </w:pPr>
      <w:r w:rsidRPr="00BF181E">
        <w:rPr>
          <w:rStyle w:val="FootnoteReference"/>
        </w:rPr>
        <w:footnoteRef/>
      </w:r>
      <w:r w:rsidRPr="00BF181E">
        <w:t xml:space="preserve"> </w:t>
      </w:r>
      <w:r w:rsidRPr="00BF181E">
        <w:t xml:space="preserve">Dla konkursów ogłoszonych przed 16.01.2017 r. </w:t>
      </w:r>
      <w:r w:rsidRPr="00BF181E">
        <w:rPr>
          <w:u w:val="single"/>
        </w:rPr>
        <w:t>oraz dla konkursu RPDS.03.04.04-IP.03-02-248/17</w:t>
      </w:r>
      <w:r>
        <w:rPr>
          <w:color w:val="7030A0"/>
          <w:u w:val="single"/>
        </w:rPr>
        <w:t xml:space="preserve"> </w:t>
      </w:r>
      <w:r w:rsidRPr="00013AFB">
        <w:t>– 50%.</w:t>
      </w:r>
      <w:r>
        <w:t xml:space="preserve"> </w:t>
      </w:r>
      <w:bookmarkStart w:id="16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6"/>
    </w:p>
  </w:footnote>
  <w:footnote w:id="48">
    <w:p w:rsidR="00681C72" w:rsidRPr="00013AFB" w:rsidRDefault="00681C72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49">
    <w:p w:rsidR="00681C72" w:rsidRPr="00013AFB" w:rsidRDefault="00681C72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0">
    <w:p w:rsidR="00681C72" w:rsidRPr="00013AFB" w:rsidRDefault="00681C72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1">
    <w:p w:rsidR="00681C72" w:rsidRPr="00013AFB" w:rsidRDefault="00681C72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2">
    <w:p w:rsidR="00681C72" w:rsidRPr="00013AFB" w:rsidRDefault="00681C72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3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54">
    <w:p w:rsidR="00681C72" w:rsidRPr="00013AFB" w:rsidRDefault="00681C72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5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6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7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8">
    <w:p w:rsidR="00681C72" w:rsidRPr="00013AFB" w:rsidRDefault="00681C72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9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0">
    <w:p w:rsidR="00681C72" w:rsidRPr="00042236" w:rsidRDefault="00681C72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1">
    <w:p w:rsidR="00681C72" w:rsidRPr="00042236" w:rsidRDefault="00681C72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26.09.2016 r. Dla konkursów ogłaszanych przed 26.09.2016 r. – zapis nieobowiązujący</w:t>
      </w:r>
    </w:p>
  </w:footnote>
  <w:footnote w:id="62">
    <w:p w:rsidR="00681C72" w:rsidRPr="00042236" w:rsidRDefault="00681C72" w:rsidP="00F2036F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3">
    <w:p w:rsidR="00681C72" w:rsidRPr="00042236" w:rsidRDefault="00681C72" w:rsidP="00835141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4">
    <w:p w:rsidR="00681C72" w:rsidRPr="00042236" w:rsidRDefault="00681C72" w:rsidP="00A23F33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5">
    <w:p w:rsidR="00681C72" w:rsidRPr="00042236" w:rsidRDefault="00681C72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6">
    <w:p w:rsidR="00681C72" w:rsidRPr="00042236" w:rsidRDefault="00681C72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Za wyjątkiem zakupu placu zabaw</w:t>
      </w:r>
      <w:r>
        <w:t>.</w:t>
      </w:r>
    </w:p>
  </w:footnote>
  <w:footnote w:id="67">
    <w:p w:rsidR="00681C72" w:rsidRPr="00042236" w:rsidRDefault="00681C72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8">
    <w:p w:rsidR="00681C72" w:rsidRPr="00042236" w:rsidRDefault="00681C72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9">
    <w:p w:rsidR="00681C72" w:rsidRPr="00013AFB" w:rsidRDefault="00681C72" w:rsidP="00A23F33">
      <w:pPr>
        <w:pStyle w:val="FootnoteText"/>
        <w:jc w:val="both"/>
      </w:pPr>
      <w:r w:rsidRPr="00042236">
        <w:rPr>
          <w:rStyle w:val="FootnoteReference"/>
          <w:color w:val="000000" w:themeColor="text1"/>
        </w:rPr>
        <w:footnoteRef/>
      </w:r>
      <w:r w:rsidRPr="00042236">
        <w:rPr>
          <w:color w:val="000000" w:themeColor="text1"/>
        </w:rPr>
        <w:t xml:space="preserve"> </w:t>
      </w:r>
      <w:r w:rsidRPr="00042236">
        <w:rPr>
          <w:color w:val="000000" w:themeColor="text1"/>
        </w:rPr>
        <w:t xml:space="preserve">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0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1">
    <w:p w:rsidR="00681C72" w:rsidRPr="00013AFB" w:rsidRDefault="00681C72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2">
    <w:p w:rsidR="00681C72" w:rsidRDefault="00681C72" w:rsidP="00A736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3">
    <w:p w:rsidR="00681C72" w:rsidRPr="00013AFB" w:rsidRDefault="00681C72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4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5">
    <w:p w:rsidR="00681C72" w:rsidRDefault="00681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6">
    <w:p w:rsidR="00681C72" w:rsidRPr="00013AFB" w:rsidRDefault="00681C72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2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5"/>
  </w:num>
  <w:num w:numId="7">
    <w:abstractNumId w:val="0"/>
  </w:num>
  <w:num w:numId="8">
    <w:abstractNumId w:val="10"/>
  </w:num>
  <w:num w:numId="9">
    <w:abstractNumId w:val="36"/>
  </w:num>
  <w:num w:numId="10">
    <w:abstractNumId w:val="24"/>
  </w:num>
  <w:num w:numId="11">
    <w:abstractNumId w:val="17"/>
  </w:num>
  <w:num w:numId="12">
    <w:abstractNumId w:val="16"/>
  </w:num>
  <w:num w:numId="13">
    <w:abstractNumId w:val="34"/>
  </w:num>
  <w:num w:numId="14">
    <w:abstractNumId w:val="8"/>
  </w:num>
  <w:num w:numId="15">
    <w:abstractNumId w:val="28"/>
  </w:num>
  <w:num w:numId="16">
    <w:abstractNumId w:val="32"/>
  </w:num>
  <w:num w:numId="17">
    <w:abstractNumId w:val="30"/>
  </w:num>
  <w:num w:numId="18">
    <w:abstractNumId w:val="35"/>
  </w:num>
  <w:num w:numId="19">
    <w:abstractNumId w:val="22"/>
  </w:num>
  <w:num w:numId="20">
    <w:abstractNumId w:val="13"/>
  </w:num>
  <w:num w:numId="21">
    <w:abstractNumId w:val="6"/>
  </w:num>
  <w:num w:numId="22">
    <w:abstractNumId w:val="2"/>
  </w:num>
  <w:num w:numId="23">
    <w:abstractNumId w:val="27"/>
  </w:num>
  <w:num w:numId="24">
    <w:abstractNumId w:val="33"/>
  </w:num>
  <w:num w:numId="25">
    <w:abstractNumId w:val="7"/>
  </w:num>
  <w:num w:numId="26">
    <w:abstractNumId w:val="31"/>
  </w:num>
  <w:num w:numId="27">
    <w:abstractNumId w:val="14"/>
  </w:num>
  <w:num w:numId="28">
    <w:abstractNumId w:val="18"/>
  </w:num>
  <w:num w:numId="29">
    <w:abstractNumId w:val="39"/>
  </w:num>
  <w:num w:numId="30">
    <w:abstractNumId w:val="38"/>
  </w:num>
  <w:num w:numId="31">
    <w:abstractNumId w:val="0"/>
  </w:num>
  <w:num w:numId="32">
    <w:abstractNumId w:val="9"/>
  </w:num>
  <w:num w:numId="33">
    <w:abstractNumId w:val="25"/>
  </w:num>
  <w:num w:numId="34">
    <w:abstractNumId w:val="5"/>
  </w:num>
  <w:num w:numId="35">
    <w:abstractNumId w:val="29"/>
  </w:num>
  <w:num w:numId="36">
    <w:abstractNumId w:val="40"/>
  </w:num>
  <w:num w:numId="37">
    <w:abstractNumId w:val="19"/>
  </w:num>
  <w:num w:numId="38">
    <w:abstractNumId w:val="26"/>
  </w:num>
  <w:num w:numId="39">
    <w:abstractNumId w:val="21"/>
  </w:num>
  <w:num w:numId="40">
    <w:abstractNumId w:val="37"/>
  </w:num>
  <w:num w:numId="41">
    <w:abstractNumId w:val="20"/>
  </w:num>
  <w:num w:numId="42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25329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66EE6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B01E1"/>
    <w:rsid w:val="000B0270"/>
    <w:rsid w:val="000B23FB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7698"/>
    <w:rsid w:val="000F001B"/>
    <w:rsid w:val="000F27B2"/>
    <w:rsid w:val="000F49C6"/>
    <w:rsid w:val="000F7BBA"/>
    <w:rsid w:val="000F7BCE"/>
    <w:rsid w:val="0010120B"/>
    <w:rsid w:val="00101EF8"/>
    <w:rsid w:val="00102960"/>
    <w:rsid w:val="00102DDD"/>
    <w:rsid w:val="00103C88"/>
    <w:rsid w:val="00105CE8"/>
    <w:rsid w:val="001113B7"/>
    <w:rsid w:val="001116F8"/>
    <w:rsid w:val="00111E58"/>
    <w:rsid w:val="00113C5E"/>
    <w:rsid w:val="001145A6"/>
    <w:rsid w:val="001149C0"/>
    <w:rsid w:val="00117082"/>
    <w:rsid w:val="001213D3"/>
    <w:rsid w:val="00122E9E"/>
    <w:rsid w:val="00133D89"/>
    <w:rsid w:val="00134C78"/>
    <w:rsid w:val="001360A7"/>
    <w:rsid w:val="00144BB9"/>
    <w:rsid w:val="00145381"/>
    <w:rsid w:val="00146477"/>
    <w:rsid w:val="00161A28"/>
    <w:rsid w:val="001639F2"/>
    <w:rsid w:val="00165F60"/>
    <w:rsid w:val="00166557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07A5"/>
    <w:rsid w:val="001B1966"/>
    <w:rsid w:val="001B53D6"/>
    <w:rsid w:val="001B568C"/>
    <w:rsid w:val="001B56C8"/>
    <w:rsid w:val="001B5A3E"/>
    <w:rsid w:val="001B7507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765B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D017D"/>
    <w:rsid w:val="002D3C6C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767B"/>
    <w:rsid w:val="003636F1"/>
    <w:rsid w:val="003660EA"/>
    <w:rsid w:val="00366375"/>
    <w:rsid w:val="00370D86"/>
    <w:rsid w:val="00372F2E"/>
    <w:rsid w:val="003818AE"/>
    <w:rsid w:val="00384A7D"/>
    <w:rsid w:val="003852FD"/>
    <w:rsid w:val="003865F7"/>
    <w:rsid w:val="003873F4"/>
    <w:rsid w:val="003878D6"/>
    <w:rsid w:val="0039420B"/>
    <w:rsid w:val="0039514F"/>
    <w:rsid w:val="003A2235"/>
    <w:rsid w:val="003A2CB6"/>
    <w:rsid w:val="003A6B11"/>
    <w:rsid w:val="003A7603"/>
    <w:rsid w:val="003B0F95"/>
    <w:rsid w:val="003B200E"/>
    <w:rsid w:val="003B2988"/>
    <w:rsid w:val="003B5299"/>
    <w:rsid w:val="003B76E4"/>
    <w:rsid w:val="003C3DD4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430E"/>
    <w:rsid w:val="00405F6A"/>
    <w:rsid w:val="00420900"/>
    <w:rsid w:val="00424DB0"/>
    <w:rsid w:val="00431815"/>
    <w:rsid w:val="0043438C"/>
    <w:rsid w:val="00437EDB"/>
    <w:rsid w:val="00440827"/>
    <w:rsid w:val="00442ACB"/>
    <w:rsid w:val="004455BC"/>
    <w:rsid w:val="0044751A"/>
    <w:rsid w:val="00450CD0"/>
    <w:rsid w:val="0045119D"/>
    <w:rsid w:val="0045127E"/>
    <w:rsid w:val="00454E85"/>
    <w:rsid w:val="00455244"/>
    <w:rsid w:val="004560EA"/>
    <w:rsid w:val="00467A9A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E2152"/>
    <w:rsid w:val="004E3624"/>
    <w:rsid w:val="004E4F5F"/>
    <w:rsid w:val="004E5DB2"/>
    <w:rsid w:val="004F01DC"/>
    <w:rsid w:val="004F19B4"/>
    <w:rsid w:val="00503959"/>
    <w:rsid w:val="005100D3"/>
    <w:rsid w:val="00513F17"/>
    <w:rsid w:val="00513FA5"/>
    <w:rsid w:val="0051723A"/>
    <w:rsid w:val="005207CF"/>
    <w:rsid w:val="00523226"/>
    <w:rsid w:val="005241F1"/>
    <w:rsid w:val="005241FD"/>
    <w:rsid w:val="00526548"/>
    <w:rsid w:val="00530FE3"/>
    <w:rsid w:val="00532933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13F9"/>
    <w:rsid w:val="00571E01"/>
    <w:rsid w:val="00572698"/>
    <w:rsid w:val="00577616"/>
    <w:rsid w:val="00580F5D"/>
    <w:rsid w:val="00582835"/>
    <w:rsid w:val="0058440F"/>
    <w:rsid w:val="005862AC"/>
    <w:rsid w:val="00587278"/>
    <w:rsid w:val="005953E3"/>
    <w:rsid w:val="005A05C2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D0B2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D1FF9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6B7B"/>
    <w:rsid w:val="00751975"/>
    <w:rsid w:val="00751EAB"/>
    <w:rsid w:val="00757B00"/>
    <w:rsid w:val="00763C29"/>
    <w:rsid w:val="007668E1"/>
    <w:rsid w:val="00771350"/>
    <w:rsid w:val="00776AD7"/>
    <w:rsid w:val="007800B1"/>
    <w:rsid w:val="0078012E"/>
    <w:rsid w:val="00786F7B"/>
    <w:rsid w:val="0079275E"/>
    <w:rsid w:val="007942CF"/>
    <w:rsid w:val="007A0112"/>
    <w:rsid w:val="007A27A2"/>
    <w:rsid w:val="007A2810"/>
    <w:rsid w:val="007A77C8"/>
    <w:rsid w:val="007B483E"/>
    <w:rsid w:val="007B6812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801880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AEC"/>
    <w:rsid w:val="00835E34"/>
    <w:rsid w:val="008409C3"/>
    <w:rsid w:val="0084221D"/>
    <w:rsid w:val="00843D11"/>
    <w:rsid w:val="00845A94"/>
    <w:rsid w:val="00854448"/>
    <w:rsid w:val="00854498"/>
    <w:rsid w:val="0085656D"/>
    <w:rsid w:val="00856BC5"/>
    <w:rsid w:val="00857AC0"/>
    <w:rsid w:val="00860533"/>
    <w:rsid w:val="00862CCA"/>
    <w:rsid w:val="008640C5"/>
    <w:rsid w:val="0086410B"/>
    <w:rsid w:val="0086480A"/>
    <w:rsid w:val="00864F31"/>
    <w:rsid w:val="00870C75"/>
    <w:rsid w:val="0087477B"/>
    <w:rsid w:val="00880E60"/>
    <w:rsid w:val="00886E70"/>
    <w:rsid w:val="00894767"/>
    <w:rsid w:val="0089612D"/>
    <w:rsid w:val="00897BAD"/>
    <w:rsid w:val="008A114E"/>
    <w:rsid w:val="008B1B4E"/>
    <w:rsid w:val="008C1CF1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10E"/>
    <w:rsid w:val="008F42E1"/>
    <w:rsid w:val="008F7051"/>
    <w:rsid w:val="008F7969"/>
    <w:rsid w:val="009051E5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6042C"/>
    <w:rsid w:val="0096096E"/>
    <w:rsid w:val="00961117"/>
    <w:rsid w:val="00961B4A"/>
    <w:rsid w:val="00964D42"/>
    <w:rsid w:val="00972A3D"/>
    <w:rsid w:val="00975738"/>
    <w:rsid w:val="0097611D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E66"/>
    <w:rsid w:val="009B3E6D"/>
    <w:rsid w:val="009B65DB"/>
    <w:rsid w:val="009C18C1"/>
    <w:rsid w:val="009C40E3"/>
    <w:rsid w:val="009D5265"/>
    <w:rsid w:val="009D79D3"/>
    <w:rsid w:val="009E483C"/>
    <w:rsid w:val="009E58A1"/>
    <w:rsid w:val="009F021E"/>
    <w:rsid w:val="009F303C"/>
    <w:rsid w:val="009F4425"/>
    <w:rsid w:val="009F4AB2"/>
    <w:rsid w:val="009F5B4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B72"/>
    <w:rsid w:val="00A23F33"/>
    <w:rsid w:val="00A26918"/>
    <w:rsid w:val="00A30802"/>
    <w:rsid w:val="00A324DC"/>
    <w:rsid w:val="00A326B2"/>
    <w:rsid w:val="00A32D90"/>
    <w:rsid w:val="00A350AB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785"/>
    <w:rsid w:val="00A84477"/>
    <w:rsid w:val="00A8521C"/>
    <w:rsid w:val="00A866E2"/>
    <w:rsid w:val="00A93AE7"/>
    <w:rsid w:val="00A93DE8"/>
    <w:rsid w:val="00AA1384"/>
    <w:rsid w:val="00AA5CF3"/>
    <w:rsid w:val="00AB2670"/>
    <w:rsid w:val="00AB3866"/>
    <w:rsid w:val="00AB3FFC"/>
    <w:rsid w:val="00AC4264"/>
    <w:rsid w:val="00AC51C3"/>
    <w:rsid w:val="00AD049A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0C4B"/>
    <w:rsid w:val="00B922A1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7BBA"/>
    <w:rsid w:val="00BC45D8"/>
    <w:rsid w:val="00BC602F"/>
    <w:rsid w:val="00BD3E84"/>
    <w:rsid w:val="00BD54CF"/>
    <w:rsid w:val="00BE1B38"/>
    <w:rsid w:val="00BE4FB6"/>
    <w:rsid w:val="00BE755E"/>
    <w:rsid w:val="00BF17A3"/>
    <w:rsid w:val="00BF181E"/>
    <w:rsid w:val="00BF25CB"/>
    <w:rsid w:val="00BF6BA2"/>
    <w:rsid w:val="00BF7A1E"/>
    <w:rsid w:val="00C06A2E"/>
    <w:rsid w:val="00C10F6C"/>
    <w:rsid w:val="00C1514B"/>
    <w:rsid w:val="00C2714F"/>
    <w:rsid w:val="00C309B2"/>
    <w:rsid w:val="00C34307"/>
    <w:rsid w:val="00C40B9D"/>
    <w:rsid w:val="00C43638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33FC"/>
    <w:rsid w:val="00C878CC"/>
    <w:rsid w:val="00C92928"/>
    <w:rsid w:val="00C92E90"/>
    <w:rsid w:val="00C943B4"/>
    <w:rsid w:val="00C94C3C"/>
    <w:rsid w:val="00C963D4"/>
    <w:rsid w:val="00CA154F"/>
    <w:rsid w:val="00CA47D9"/>
    <w:rsid w:val="00CA76AF"/>
    <w:rsid w:val="00CA76E6"/>
    <w:rsid w:val="00CA7C2D"/>
    <w:rsid w:val="00CB18AB"/>
    <w:rsid w:val="00CB1B9E"/>
    <w:rsid w:val="00CC50C8"/>
    <w:rsid w:val="00CD30E3"/>
    <w:rsid w:val="00CD5727"/>
    <w:rsid w:val="00CE31DE"/>
    <w:rsid w:val="00CE736E"/>
    <w:rsid w:val="00CF14EF"/>
    <w:rsid w:val="00CF1577"/>
    <w:rsid w:val="00CF48B5"/>
    <w:rsid w:val="00CF7558"/>
    <w:rsid w:val="00CF7737"/>
    <w:rsid w:val="00D05269"/>
    <w:rsid w:val="00D15BC4"/>
    <w:rsid w:val="00D20920"/>
    <w:rsid w:val="00D20FA1"/>
    <w:rsid w:val="00D22318"/>
    <w:rsid w:val="00D23BF3"/>
    <w:rsid w:val="00D2466E"/>
    <w:rsid w:val="00D3199B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96C9F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09FB"/>
    <w:rsid w:val="00DD5F4B"/>
    <w:rsid w:val="00DE269E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64BE0"/>
    <w:rsid w:val="00E669C7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C2BAC"/>
    <w:rsid w:val="00EC3A76"/>
    <w:rsid w:val="00EC68AE"/>
    <w:rsid w:val="00ED4A1C"/>
    <w:rsid w:val="00ED53F6"/>
    <w:rsid w:val="00ED7D28"/>
    <w:rsid w:val="00EE0968"/>
    <w:rsid w:val="00EE25F0"/>
    <w:rsid w:val="00EE2FD1"/>
    <w:rsid w:val="00EE4FE6"/>
    <w:rsid w:val="00EF14EA"/>
    <w:rsid w:val="00EF1FDC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4304F"/>
    <w:rsid w:val="00F550BE"/>
    <w:rsid w:val="00F55FA8"/>
    <w:rsid w:val="00F64A55"/>
    <w:rsid w:val="00F65196"/>
    <w:rsid w:val="00F67081"/>
    <w:rsid w:val="00F709E4"/>
    <w:rsid w:val="00F739EA"/>
    <w:rsid w:val="00F73E38"/>
    <w:rsid w:val="00F766F3"/>
    <w:rsid w:val="00F8165C"/>
    <w:rsid w:val="00F87A53"/>
    <w:rsid w:val="00F932E2"/>
    <w:rsid w:val="00F965DA"/>
    <w:rsid w:val="00F96969"/>
    <w:rsid w:val="00FA2DCA"/>
    <w:rsid w:val="00FA3C79"/>
    <w:rsid w:val="00FA65C9"/>
    <w:rsid w:val="00FA6BCC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E17BC"/>
    <w:rsid w:val="00FE685B"/>
    <w:rsid w:val="00FF172A"/>
    <w:rsid w:val="00FF4158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16"/>
  </w:style>
  <w:style w:type="paragraph" w:styleId="Heading1">
    <w:name w:val="heading 1"/>
    <w:basedOn w:val="Normal"/>
    <w:next w:val="Normal"/>
    <w:link w:val="Heading1Char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37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76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4C1"/>
  </w:style>
  <w:style w:type="paragraph" w:styleId="Footer">
    <w:name w:val="footer"/>
    <w:basedOn w:val="Normal"/>
    <w:link w:val="FooterChar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C1"/>
  </w:style>
  <w:style w:type="paragraph" w:styleId="ListParagraph">
    <w:name w:val="List Paragraph"/>
    <w:basedOn w:val="Normal"/>
    <w:link w:val="ListParagraphChar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82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64"/>
    <w:rPr>
      <w:b/>
      <w:bCs/>
      <w:sz w:val="20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"/>
    <w:link w:val="FootnoteTextChar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rsid w:val="00420900"/>
    <w:rPr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42090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istParagraphChar">
    <w:name w:val="List Paragraph Char"/>
    <w:link w:val="ListParagraph"/>
    <w:uiPriority w:val="34"/>
    <w:rsid w:val="00A23F33"/>
  </w:style>
  <w:style w:type="paragraph" w:styleId="PlainText">
    <w:name w:val="Plain Text"/>
    <w:basedOn w:val="Normal"/>
    <w:link w:val="PlainTextChar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Heading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5F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5F4B"/>
    <w:rPr>
      <w:vertAlign w:val="superscript"/>
    </w:rPr>
  </w:style>
  <w:style w:type="table" w:styleId="TableGrid">
    <w:name w:val="Table Grid"/>
    <w:basedOn w:val="TableNormal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TableNormal"/>
    <w:next w:val="TableGrid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F402B-804F-4A84-B29A-725042EA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9643</Words>
  <Characters>57858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Zach Ar</cp:lastModifiedBy>
  <cp:revision>2</cp:revision>
  <cp:lastPrinted>2020-03-13T08:23:00Z</cp:lastPrinted>
  <dcterms:created xsi:type="dcterms:W3CDTF">2020-04-28T19:30:00Z</dcterms:created>
  <dcterms:modified xsi:type="dcterms:W3CDTF">2020-04-28T19:30:00Z</dcterms:modified>
</cp:coreProperties>
</file>