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E5" w:rsidRPr="00E04296" w:rsidRDefault="009126E5" w:rsidP="009126E5">
      <w:pPr>
        <w:autoSpaceDE w:val="0"/>
        <w:autoSpaceDN w:val="0"/>
        <w:spacing w:before="120" w:after="120" w:line="240" w:lineRule="auto"/>
        <w:jc w:val="center"/>
        <w:rPr>
          <w:rFonts w:asciiTheme="minorHAnsi" w:hAnsiTheme="minorHAnsi" w:cs="Calibri"/>
          <w:b/>
          <w:color w:val="000000"/>
          <w:sz w:val="28"/>
          <w:szCs w:val="24"/>
        </w:rPr>
      </w:pPr>
      <w:bookmarkStart w:id="0" w:name="_Toc426632922"/>
      <w:bookmarkStart w:id="1" w:name="_Toc430826826"/>
      <w:bookmarkStart w:id="2" w:name="_Toc432758974"/>
      <w:r w:rsidRPr="00E04296">
        <w:rPr>
          <w:rFonts w:asciiTheme="minorHAnsi" w:hAnsiTheme="minorHAnsi" w:cs="Calibri"/>
          <w:b/>
          <w:color w:val="000000"/>
          <w:sz w:val="28"/>
          <w:szCs w:val="24"/>
        </w:rPr>
        <w:t>Lista wskaźników na poziomie projektu</w:t>
      </w:r>
    </w:p>
    <w:p w:rsidR="00CF69D1" w:rsidRPr="00E04296" w:rsidRDefault="009126E5" w:rsidP="009126E5">
      <w:pPr>
        <w:autoSpaceDE w:val="0"/>
        <w:autoSpaceDN w:val="0"/>
        <w:spacing w:before="120" w:after="120" w:line="240" w:lineRule="auto"/>
        <w:jc w:val="center"/>
        <w:rPr>
          <w:rFonts w:asciiTheme="minorHAnsi" w:hAnsiTheme="minorHAnsi" w:cs="Calibri"/>
          <w:b/>
          <w:color w:val="000000"/>
          <w:sz w:val="28"/>
          <w:szCs w:val="24"/>
        </w:rPr>
      </w:pPr>
      <w:r w:rsidRPr="00E04296">
        <w:rPr>
          <w:rFonts w:asciiTheme="minorHAnsi" w:hAnsiTheme="minorHAnsi" w:cs="Calibri"/>
          <w:b/>
          <w:color w:val="000000"/>
          <w:sz w:val="28"/>
          <w:szCs w:val="24"/>
        </w:rPr>
        <w:t xml:space="preserve"> dl</w:t>
      </w:r>
      <w:r w:rsidR="00E04296" w:rsidRPr="00E04296">
        <w:rPr>
          <w:rFonts w:asciiTheme="minorHAnsi" w:hAnsiTheme="minorHAnsi" w:cs="Calibri"/>
          <w:b/>
          <w:color w:val="000000"/>
          <w:sz w:val="28"/>
          <w:szCs w:val="24"/>
        </w:rPr>
        <w:t xml:space="preserve">a Działania 1.3, Schematu 1.3 </w:t>
      </w:r>
      <w:r w:rsidRPr="00E04296">
        <w:rPr>
          <w:rFonts w:asciiTheme="minorHAnsi" w:hAnsiTheme="minorHAnsi" w:cs="Calibri"/>
          <w:b/>
          <w:color w:val="000000"/>
          <w:sz w:val="28"/>
          <w:szCs w:val="24"/>
        </w:rPr>
        <w:t>B</w:t>
      </w:r>
    </w:p>
    <w:p w:rsidR="009126E5" w:rsidRPr="00E04296" w:rsidRDefault="00CA1508" w:rsidP="00CA1508">
      <w:pPr>
        <w:tabs>
          <w:tab w:val="left" w:pos="7320"/>
        </w:tabs>
        <w:autoSpaceDE w:val="0"/>
        <w:autoSpaceDN w:val="0"/>
        <w:spacing w:before="120" w:after="120" w:line="240" w:lineRule="auto"/>
        <w:rPr>
          <w:rFonts w:asciiTheme="minorHAnsi" w:eastAsiaTheme="minorHAnsi" w:hAnsiTheme="minorHAnsi" w:cs="Calibri"/>
          <w:szCs w:val="22"/>
          <w:lang w:eastAsia="en-US"/>
        </w:rPr>
      </w:pPr>
      <w:r w:rsidRPr="00E04296">
        <w:rPr>
          <w:rFonts w:asciiTheme="minorHAnsi" w:eastAsiaTheme="minorHAnsi" w:hAnsiTheme="minorHAnsi" w:cs="Calibri"/>
          <w:szCs w:val="22"/>
          <w:lang w:eastAsia="en-US"/>
        </w:rPr>
        <w:tab/>
      </w:r>
    </w:p>
    <w:bookmarkEnd w:id="0"/>
    <w:bookmarkEnd w:id="1"/>
    <w:bookmarkEnd w:id="2"/>
    <w:p w:rsidR="00DF6D97" w:rsidRPr="00E04296"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E04296">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E04296" w:rsidRDefault="00DF6D97" w:rsidP="00DF6D97">
      <w:pPr>
        <w:autoSpaceDE w:val="0"/>
        <w:autoSpaceDN w:val="0"/>
        <w:spacing w:before="120" w:after="120" w:line="240" w:lineRule="auto"/>
        <w:jc w:val="both"/>
        <w:rPr>
          <w:rFonts w:asciiTheme="minorHAnsi" w:hAnsiTheme="minorHAnsi"/>
          <w:szCs w:val="22"/>
        </w:rPr>
      </w:pPr>
      <w:r w:rsidRPr="00E04296">
        <w:rPr>
          <w:rFonts w:asciiTheme="minorHAnsi" w:eastAsiaTheme="minorHAnsi" w:hAnsiTheme="minorHAnsi" w:cs="Calibri"/>
          <w:szCs w:val="22"/>
          <w:lang w:eastAsia="en-US"/>
        </w:rPr>
        <w:t xml:space="preserve">Wybór wskaźników projektu powinien być powiązany z typem realizowanego przedsięwzięcia </w:t>
      </w:r>
      <w:r w:rsidRPr="00E04296">
        <w:rPr>
          <w:rFonts w:asciiTheme="minorHAnsi" w:eastAsiaTheme="minorHAnsi" w:hAnsiTheme="minorHAnsi" w:cs="Calibri"/>
          <w:szCs w:val="22"/>
          <w:lang w:eastAsia="en-US"/>
        </w:rPr>
        <w:br/>
        <w:t xml:space="preserve">i planowanymi działaniami, które Wnioskodawca zamierza podjąć w ramach projektu. </w:t>
      </w:r>
      <w:r w:rsidRPr="00E04296">
        <w:rPr>
          <w:rFonts w:asciiTheme="minorHAnsi" w:eastAsiaTheme="minorHAnsi" w:hAnsiTheme="minorHAnsi" w:cs="Calibri"/>
          <w:bCs/>
          <w:szCs w:val="22"/>
          <w:lang w:eastAsia="en-US"/>
        </w:rPr>
        <w:t>Do celu głównego projektu Wnioskodawca powinien dobrać odpowiednie wskaźniki, produktu i rezultatu</w:t>
      </w:r>
      <w:r w:rsidRPr="00E04296">
        <w:rPr>
          <w:rFonts w:asciiTheme="minorHAnsi" w:eastAsiaTheme="minorHAnsi" w:hAnsiTheme="minorHAnsi" w:cs="Calibri"/>
          <w:szCs w:val="22"/>
          <w:lang w:eastAsia="en-US"/>
        </w:rPr>
        <w:t xml:space="preserve"> bezpośredniego. Muszą być logicznie powiązane z projektem i spójne. </w:t>
      </w:r>
    </w:p>
    <w:p w:rsidR="00DF6D97" w:rsidRPr="00E04296"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E04296">
        <w:rPr>
          <w:rFonts w:asciiTheme="minorHAnsi" w:hAnsiTheme="minorHAnsi"/>
          <w:szCs w:val="22"/>
        </w:rPr>
        <w:t>Każdy ze wskaźników powinien posiadać następujące cechy:</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adekwatność – wskaźnik powinien być dostosowany do charakteru projektu oraz oczekiwanych efektów związanych z jego realizacją;</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mierzalność – wskaźnik powinien być kwantyfikowalny, tj. wyrażony w wartościach liczbowych bądź finansowych;</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wiarygodność – wskaźnik powinien być zdefiniowany w taki sposób, aby jego weryfikacja nie powodowała utrudnień;</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dostępność – wskaźnik powinien być łatwy do określenia w wyniku realizacji projektu;</w:t>
      </w:r>
    </w:p>
    <w:p w:rsidR="00DF6D97" w:rsidRPr="00E04296"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E04296">
        <w:rPr>
          <w:rFonts w:asciiTheme="minorHAnsi" w:hAnsiTheme="minorHAnsi"/>
          <w:szCs w:val="22"/>
        </w:rPr>
        <w:t>określony w czasie – wartość wskaźnika powinna zostać określona w czasie, tj. określony rok osiągnięcia wartości docelowej wskaźnika oraz okres, w którym będzie mierzony wskaźnik</w:t>
      </w:r>
    </w:p>
    <w:p w:rsidR="00DF6D97" w:rsidRPr="00E04296"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E04296">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Należy określić, co najmniej jeden podstawowy i mierzalny wskaźnik, który w sposób precyzyjny umożliwi weryfikację stopnia realizacji celu głównego projektu. </w:t>
      </w:r>
    </w:p>
    <w:p w:rsidR="00DF6D97" w:rsidRPr="00E04296" w:rsidRDefault="00DF6D97" w:rsidP="00DF6D97">
      <w:pPr>
        <w:spacing w:before="120" w:after="120" w:line="240" w:lineRule="auto"/>
        <w:jc w:val="both"/>
        <w:rPr>
          <w:rFonts w:asciiTheme="minorHAnsi" w:hAnsiTheme="minorHAnsi"/>
          <w:b/>
          <w:szCs w:val="22"/>
        </w:rPr>
      </w:pPr>
    </w:p>
    <w:p w:rsidR="00DF6D97" w:rsidRPr="00E04296" w:rsidRDefault="00DF6D97" w:rsidP="00DF6D97">
      <w:pPr>
        <w:spacing w:before="120" w:after="120" w:line="240" w:lineRule="auto"/>
        <w:jc w:val="both"/>
        <w:rPr>
          <w:rFonts w:asciiTheme="minorHAnsi" w:hAnsiTheme="minorHAnsi"/>
          <w:b/>
          <w:szCs w:val="22"/>
        </w:rPr>
      </w:pPr>
      <w:r w:rsidRPr="00E04296">
        <w:rPr>
          <w:rFonts w:asciiTheme="minorHAnsi" w:hAnsiTheme="minorHAnsi"/>
          <w:b/>
          <w:szCs w:val="22"/>
        </w:rPr>
        <w:t>W ramach RPO WD 2014-2020 rozróżnia się następujące wskaźniki:</w:t>
      </w:r>
    </w:p>
    <w:p w:rsidR="00DF6D97" w:rsidRPr="00E04296"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E04296">
        <w:rPr>
          <w:rFonts w:asciiTheme="minorHAnsi" w:hAnsiTheme="minorHAnsi"/>
          <w:b/>
          <w:szCs w:val="22"/>
        </w:rPr>
        <w:t>obligatoryjne – wskaźniki ujęte w RPO WD 2014-2020, SZOOP RPO WD 2014-2020</w:t>
      </w:r>
    </w:p>
    <w:p w:rsidR="00DF6D97" w:rsidRPr="00E04296"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E04296">
        <w:rPr>
          <w:rFonts w:asciiTheme="minorHAnsi" w:hAnsiTheme="minorHAnsi"/>
          <w:b/>
          <w:szCs w:val="22"/>
        </w:rPr>
        <w:t xml:space="preserve">horyzontalne </w:t>
      </w:r>
    </w:p>
    <w:p w:rsidR="00DF6D97" w:rsidRPr="00E04296"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E04296">
        <w:rPr>
          <w:rFonts w:asciiTheme="minorHAnsi" w:hAnsiTheme="minorHAnsi"/>
          <w:b/>
          <w:szCs w:val="22"/>
        </w:rPr>
        <w:t>dodatkowe – wskaźniki projektowe</w:t>
      </w:r>
    </w:p>
    <w:p w:rsidR="00DF6D97" w:rsidRPr="00E04296" w:rsidRDefault="00DF6D97" w:rsidP="00DF6D97">
      <w:pPr>
        <w:pStyle w:val="Akapitzlist"/>
        <w:spacing w:before="120" w:after="120" w:line="240" w:lineRule="auto"/>
        <w:ind w:left="720"/>
        <w:jc w:val="both"/>
        <w:rPr>
          <w:rFonts w:asciiTheme="minorHAnsi" w:hAnsiTheme="minorHAnsi"/>
          <w:b/>
          <w:szCs w:val="22"/>
        </w:rPr>
      </w:pPr>
    </w:p>
    <w:p w:rsidR="00DF6D97" w:rsidRPr="00E04296" w:rsidRDefault="00DF6D97" w:rsidP="00DF6D97">
      <w:pPr>
        <w:pStyle w:val="Nagwek1"/>
        <w:spacing w:before="120" w:after="120" w:line="240" w:lineRule="auto"/>
        <w:jc w:val="both"/>
        <w:rPr>
          <w:rFonts w:asciiTheme="minorHAnsi" w:hAnsiTheme="minorHAnsi"/>
          <w:sz w:val="22"/>
          <w:szCs w:val="22"/>
        </w:rPr>
      </w:pPr>
      <w:r w:rsidRPr="00E04296">
        <w:rPr>
          <w:rFonts w:asciiTheme="minorHAnsi" w:hAnsiTheme="minorHAnsi"/>
          <w:sz w:val="22"/>
          <w:szCs w:val="22"/>
        </w:rPr>
        <w:t>Wymagania w zakresie wskaźników w projekcie</w:t>
      </w:r>
    </w:p>
    <w:p w:rsidR="00DF6D97" w:rsidRPr="00E04296" w:rsidRDefault="00DF6D97" w:rsidP="00DF6D97">
      <w:pPr>
        <w:pStyle w:val="Default"/>
        <w:jc w:val="both"/>
        <w:rPr>
          <w:rFonts w:asciiTheme="minorHAnsi" w:eastAsiaTheme="minorHAnsi" w:hAnsiTheme="minorHAnsi" w:cs="Calibri"/>
          <w:sz w:val="22"/>
          <w:szCs w:val="22"/>
          <w:lang w:eastAsia="en-US"/>
        </w:rPr>
      </w:pPr>
      <w:r w:rsidRPr="00E04296">
        <w:rPr>
          <w:rFonts w:asciiTheme="minorHAnsi" w:eastAsiaTheme="minorHAnsi" w:hAnsiTheme="minorHAnsi" w:cs="Calibri"/>
          <w:sz w:val="22"/>
          <w:szCs w:val="22"/>
          <w:lang w:eastAsia="en-US"/>
        </w:rPr>
        <w:t xml:space="preserve">W ramach wniosku o dofinansowanie projektu Wnioskodawca określa </w:t>
      </w:r>
      <w:r w:rsidRPr="00E04296">
        <w:rPr>
          <w:rFonts w:asciiTheme="minorHAnsi" w:eastAsiaTheme="minorHAnsi" w:hAnsiTheme="minorHAnsi" w:cs="Calibri"/>
          <w:b/>
          <w:bCs/>
          <w:sz w:val="22"/>
          <w:szCs w:val="22"/>
          <w:lang w:eastAsia="en-US"/>
        </w:rPr>
        <w:t>wskaźniki służące pomiarowi działań i celów założonych w projekcie.</w:t>
      </w:r>
      <w:r w:rsidRPr="00E04296">
        <w:rPr>
          <w:rFonts w:asciiTheme="minorHAnsi" w:eastAsiaTheme="minorHAnsi" w:hAnsiTheme="minorHAnsi" w:cs="Calibri"/>
          <w:sz w:val="22"/>
          <w:szCs w:val="22"/>
          <w:lang w:eastAsia="en-US"/>
        </w:rPr>
        <w:t xml:space="preserve"> Wskaźniki w ramach projektu należy określić mając </w:t>
      </w:r>
      <w:r w:rsidRPr="00E04296">
        <w:rPr>
          <w:rFonts w:asciiTheme="minorHAnsi" w:eastAsiaTheme="minorHAnsi" w:hAnsiTheme="minorHAnsi" w:cs="Calibri"/>
          <w:sz w:val="22"/>
          <w:szCs w:val="22"/>
          <w:lang w:eastAsia="en-US"/>
        </w:rPr>
        <w:br/>
        <w:t>w szczególności na uwadze zapisy niniejszego regulaminu.</w:t>
      </w:r>
    </w:p>
    <w:p w:rsidR="00DF6D97" w:rsidRPr="00E04296" w:rsidRDefault="00DF6D97" w:rsidP="00DF6D97">
      <w:pPr>
        <w:pStyle w:val="Default"/>
        <w:jc w:val="both"/>
        <w:rPr>
          <w:rFonts w:asciiTheme="minorHAnsi" w:eastAsiaTheme="minorHAnsi" w:hAnsiTheme="minorHAnsi" w:cs="Calibri"/>
          <w:sz w:val="22"/>
          <w:szCs w:val="22"/>
          <w:lang w:eastAsia="en-US"/>
        </w:rPr>
      </w:pPr>
    </w:p>
    <w:p w:rsidR="00DF6D97" w:rsidRPr="00E04296" w:rsidRDefault="00DF6D97" w:rsidP="00DF6D97">
      <w:pPr>
        <w:pStyle w:val="Default"/>
        <w:jc w:val="both"/>
        <w:rPr>
          <w:rFonts w:asciiTheme="minorHAnsi" w:hAnsiTheme="minorHAnsi"/>
          <w:b/>
          <w:sz w:val="22"/>
          <w:szCs w:val="22"/>
        </w:rPr>
      </w:pPr>
      <w:r w:rsidRPr="00E04296">
        <w:rPr>
          <w:rFonts w:asciiTheme="minorHAnsi" w:eastAsiaTheme="minorHAnsi" w:hAnsiTheme="minorHAnsi" w:cs="Calibri"/>
          <w:sz w:val="22"/>
          <w:szCs w:val="22"/>
          <w:lang w:eastAsia="en-US"/>
        </w:rPr>
        <w:t xml:space="preserve"> </w:t>
      </w:r>
      <w:r w:rsidRPr="00E04296">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E04296" w:rsidRDefault="00DF6D97" w:rsidP="008B73B1">
      <w:pPr>
        <w:autoSpaceDE w:val="0"/>
        <w:autoSpaceDN w:val="0"/>
        <w:adjustRightInd w:val="0"/>
        <w:spacing w:line="240" w:lineRule="auto"/>
        <w:ind w:firstLine="708"/>
        <w:jc w:val="both"/>
        <w:rPr>
          <w:rFonts w:asciiTheme="minorHAnsi" w:hAnsiTheme="minorHAnsi" w:cs="Arial"/>
          <w:color w:val="000000"/>
          <w:szCs w:val="22"/>
        </w:rPr>
      </w:pPr>
      <w:r w:rsidRPr="00E04296">
        <w:rPr>
          <w:rFonts w:asciiTheme="minorHAnsi" w:hAnsiTheme="minorHAnsi" w:cs="Arial"/>
          <w:b/>
          <w:color w:val="000000"/>
          <w:szCs w:val="22"/>
        </w:rPr>
        <w:t>W</w:t>
      </w:r>
      <w:r w:rsidRPr="00E04296">
        <w:rPr>
          <w:rFonts w:asciiTheme="minorHAnsi" w:hAnsiTheme="minorHAnsi" w:cs="Arial"/>
          <w:b/>
          <w:bCs/>
          <w:color w:val="000000"/>
          <w:szCs w:val="22"/>
        </w:rPr>
        <w:t>skaźniki produktu</w:t>
      </w:r>
      <w:r w:rsidRPr="00E04296">
        <w:rPr>
          <w:rFonts w:asciiTheme="minorHAnsi" w:hAnsiTheme="minorHAnsi" w:cs="Arial"/>
          <w:bCs/>
          <w:color w:val="000000"/>
          <w:szCs w:val="22"/>
        </w:rPr>
        <w:t xml:space="preserve"> są to wskaźniki powiązane bezpośrednio z wydatkami ponoszonymi </w:t>
      </w:r>
      <w:r w:rsidRPr="00E04296">
        <w:rPr>
          <w:rFonts w:asciiTheme="minorHAnsi" w:hAnsiTheme="minorHAnsi" w:cs="Arial"/>
          <w:bCs/>
          <w:color w:val="000000"/>
          <w:szCs w:val="22"/>
        </w:rPr>
        <w:br/>
        <w:t>w projekcie</w:t>
      </w:r>
      <w:r w:rsidRPr="00E04296">
        <w:rPr>
          <w:rFonts w:asciiTheme="minorHAnsi" w:hAnsiTheme="minorHAnsi" w:cs="Arial"/>
          <w:color w:val="000000"/>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lastRenderedPageBreak/>
        <w:t xml:space="preserve">Dla każdego z wybranych wskaźników Wnioskodawca zobowiązany jest do wskazania </w:t>
      </w:r>
      <w:r w:rsidRPr="00E04296">
        <w:rPr>
          <w:rFonts w:asciiTheme="minorHAnsi" w:hAnsiTheme="minorHAnsi"/>
          <w:i/>
          <w:sz w:val="22"/>
          <w:szCs w:val="22"/>
        </w:rPr>
        <w:t>„Jednostki miary”</w:t>
      </w:r>
      <w:r w:rsidRPr="00E04296">
        <w:rPr>
          <w:rFonts w:asciiTheme="minorHAnsi" w:hAnsiTheme="minorHAnsi"/>
          <w:sz w:val="22"/>
          <w:szCs w:val="22"/>
        </w:rPr>
        <w:t xml:space="preserve">, </w:t>
      </w:r>
      <w:r w:rsidRPr="00E04296">
        <w:rPr>
          <w:rFonts w:asciiTheme="minorHAnsi" w:hAnsiTheme="minorHAnsi"/>
          <w:i/>
          <w:sz w:val="22"/>
          <w:szCs w:val="22"/>
        </w:rPr>
        <w:t>„Wartości bazowej”</w:t>
      </w:r>
      <w:r w:rsidRPr="00E04296">
        <w:rPr>
          <w:rFonts w:asciiTheme="minorHAnsi" w:hAnsiTheme="minorHAnsi"/>
          <w:sz w:val="22"/>
          <w:szCs w:val="22"/>
        </w:rPr>
        <w:t xml:space="preserve">, </w:t>
      </w:r>
      <w:r w:rsidRPr="00E04296">
        <w:rPr>
          <w:rFonts w:asciiTheme="minorHAnsi" w:hAnsiTheme="minorHAnsi"/>
          <w:i/>
          <w:sz w:val="22"/>
          <w:szCs w:val="22"/>
        </w:rPr>
        <w:t>„Wartości docelowej wskaźnika”</w:t>
      </w:r>
      <w:r w:rsidRPr="00E04296">
        <w:rPr>
          <w:rFonts w:asciiTheme="minorHAnsi" w:hAnsiTheme="minorHAnsi"/>
          <w:sz w:val="22"/>
          <w:szCs w:val="22"/>
        </w:rPr>
        <w:t xml:space="preserve">, a także </w:t>
      </w:r>
      <w:r w:rsidRPr="00E04296">
        <w:rPr>
          <w:rFonts w:asciiTheme="minorHAnsi" w:hAnsiTheme="minorHAnsi"/>
          <w:i/>
          <w:sz w:val="22"/>
          <w:szCs w:val="22"/>
        </w:rPr>
        <w:t>„Źródła informacji o wskaźniku”</w:t>
      </w:r>
      <w:r w:rsidRPr="00E04296">
        <w:rPr>
          <w:rFonts w:asciiTheme="minorHAnsi" w:hAnsiTheme="minorHAnsi"/>
          <w:sz w:val="22"/>
          <w:szCs w:val="22"/>
        </w:rPr>
        <w:t xml:space="preserve">. </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t xml:space="preserve">Jako źródło informacji o wskaźniku wskazać należy odpowiedni dokument (np. protokół odbioru robót). </w:t>
      </w:r>
    </w:p>
    <w:p w:rsidR="00DF6D97" w:rsidRPr="00E04296" w:rsidRDefault="00DF6D97" w:rsidP="00DF6D97">
      <w:pPr>
        <w:autoSpaceDE w:val="0"/>
        <w:autoSpaceDN w:val="0"/>
        <w:adjustRightInd w:val="0"/>
        <w:spacing w:before="120" w:after="120" w:line="240" w:lineRule="auto"/>
        <w:jc w:val="both"/>
        <w:rPr>
          <w:rFonts w:asciiTheme="minorHAnsi" w:hAnsiTheme="minorHAnsi"/>
          <w:b/>
          <w:szCs w:val="22"/>
        </w:rPr>
      </w:pPr>
      <w:r w:rsidRPr="00E04296">
        <w:rPr>
          <w:rFonts w:asciiTheme="minorHAnsi" w:hAnsiTheme="minorHAnsi"/>
          <w:szCs w:val="22"/>
        </w:rPr>
        <w:t xml:space="preserve">W ramach Działania </w:t>
      </w:r>
      <w:r w:rsidR="00332CDB" w:rsidRPr="00E04296">
        <w:rPr>
          <w:rFonts w:asciiTheme="minorHAnsi" w:hAnsiTheme="minorHAnsi"/>
          <w:szCs w:val="22"/>
        </w:rPr>
        <w:t>1</w:t>
      </w:r>
      <w:r w:rsidRPr="00E04296">
        <w:rPr>
          <w:rFonts w:asciiTheme="minorHAnsi" w:hAnsiTheme="minorHAnsi"/>
          <w:szCs w:val="22"/>
        </w:rPr>
        <w:t>.</w:t>
      </w:r>
      <w:r w:rsidR="00332CDB" w:rsidRPr="00E04296">
        <w:rPr>
          <w:rFonts w:asciiTheme="minorHAnsi" w:hAnsiTheme="minorHAnsi"/>
          <w:szCs w:val="22"/>
        </w:rPr>
        <w:t>3</w:t>
      </w:r>
      <w:r w:rsidR="00D20133" w:rsidRPr="00E04296">
        <w:rPr>
          <w:rFonts w:asciiTheme="minorHAnsi" w:hAnsiTheme="minorHAnsi"/>
          <w:szCs w:val="22"/>
        </w:rPr>
        <w:t xml:space="preserve"> B </w:t>
      </w:r>
      <w:r w:rsidRPr="00E04296">
        <w:rPr>
          <w:rFonts w:asciiTheme="minorHAnsi" w:hAnsiTheme="minorHAnsi"/>
          <w:szCs w:val="22"/>
        </w:rPr>
        <w:t xml:space="preserve">określono poniższe wskaźniki </w:t>
      </w:r>
      <w:r w:rsidRPr="00E04296">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94"/>
        <w:gridCol w:w="851"/>
        <w:gridCol w:w="4536"/>
        <w:gridCol w:w="1807"/>
      </w:tblGrid>
      <w:tr w:rsidR="00370466" w:rsidRPr="00E04296" w:rsidTr="00403791">
        <w:trPr>
          <w:cantSplit/>
          <w:trHeight w:val="20"/>
          <w:jc w:val="center"/>
        </w:trPr>
        <w:tc>
          <w:tcPr>
            <w:tcW w:w="1127" w:type="pct"/>
            <w:shd w:val="clear" w:color="auto" w:fill="D9D9D9" w:themeFill="background1" w:themeFillShade="D9"/>
            <w:vAlign w:val="center"/>
          </w:tcPr>
          <w:p w:rsidR="005657D8" w:rsidRPr="00E04296" w:rsidRDefault="005657D8" w:rsidP="00EE4C8C">
            <w:pPr>
              <w:spacing w:before="0" w:line="240" w:lineRule="auto"/>
              <w:jc w:val="center"/>
              <w:rPr>
                <w:rFonts w:asciiTheme="minorHAnsi" w:hAnsiTheme="minorHAnsi"/>
                <w:b/>
                <w:sz w:val="20"/>
              </w:rPr>
            </w:pPr>
            <w:r w:rsidRPr="00E04296">
              <w:rPr>
                <w:rFonts w:asciiTheme="minorHAnsi" w:hAnsiTheme="minorHAnsi"/>
                <w:b/>
                <w:sz w:val="20"/>
              </w:rPr>
              <w:t>Nazwa wskaźnika produktu</w:t>
            </w:r>
          </w:p>
        </w:tc>
        <w:tc>
          <w:tcPr>
            <w:tcW w:w="458" w:type="pct"/>
            <w:shd w:val="clear" w:color="auto" w:fill="D9D9D9" w:themeFill="background1" w:themeFillShade="D9"/>
            <w:vAlign w:val="center"/>
          </w:tcPr>
          <w:p w:rsidR="005657D8" w:rsidRPr="00E04296" w:rsidRDefault="005657D8" w:rsidP="00EE4C8C">
            <w:pPr>
              <w:suppressAutoHyphens/>
              <w:spacing w:before="0" w:line="240" w:lineRule="auto"/>
              <w:jc w:val="center"/>
              <w:rPr>
                <w:rFonts w:asciiTheme="minorHAnsi" w:hAnsiTheme="minorHAnsi"/>
                <w:b/>
                <w:bCs/>
                <w:sz w:val="20"/>
              </w:rPr>
            </w:pPr>
            <w:r w:rsidRPr="00E04296">
              <w:rPr>
                <w:rFonts w:asciiTheme="minorHAnsi" w:hAnsiTheme="minorHAnsi"/>
                <w:b/>
                <w:bCs/>
                <w:sz w:val="20"/>
              </w:rPr>
              <w:t>Jednostka miary</w:t>
            </w:r>
          </w:p>
        </w:tc>
        <w:tc>
          <w:tcPr>
            <w:tcW w:w="2442" w:type="pct"/>
            <w:shd w:val="clear" w:color="auto" w:fill="D9D9D9" w:themeFill="background1" w:themeFillShade="D9"/>
            <w:vAlign w:val="center"/>
          </w:tcPr>
          <w:p w:rsidR="005657D8" w:rsidRPr="00E04296" w:rsidRDefault="005657D8" w:rsidP="00EE4C8C">
            <w:pPr>
              <w:suppressAutoHyphens/>
              <w:spacing w:before="0" w:line="240" w:lineRule="auto"/>
              <w:jc w:val="center"/>
              <w:rPr>
                <w:rFonts w:asciiTheme="minorHAnsi" w:hAnsiTheme="minorHAnsi"/>
                <w:b/>
                <w:sz w:val="20"/>
              </w:rPr>
            </w:pPr>
            <w:r w:rsidRPr="00E04296">
              <w:rPr>
                <w:rFonts w:asciiTheme="minorHAnsi" w:hAnsiTheme="minorHAnsi"/>
                <w:b/>
                <w:bCs/>
                <w:sz w:val="20"/>
              </w:rPr>
              <w:t>Definicja wskaźnika</w:t>
            </w:r>
          </w:p>
        </w:tc>
        <w:tc>
          <w:tcPr>
            <w:tcW w:w="973" w:type="pct"/>
            <w:shd w:val="clear" w:color="auto" w:fill="D9D9D9" w:themeFill="background1" w:themeFillShade="D9"/>
            <w:vAlign w:val="center"/>
          </w:tcPr>
          <w:p w:rsidR="005657D8" w:rsidRPr="00E04296" w:rsidRDefault="005657D8" w:rsidP="00EE4C8C">
            <w:pPr>
              <w:suppressAutoHyphens/>
              <w:spacing w:before="0" w:line="240" w:lineRule="auto"/>
              <w:jc w:val="center"/>
              <w:rPr>
                <w:rFonts w:asciiTheme="minorHAnsi" w:hAnsiTheme="minorHAnsi"/>
                <w:b/>
                <w:bCs/>
                <w:sz w:val="20"/>
              </w:rPr>
            </w:pPr>
            <w:r w:rsidRPr="00E04296">
              <w:rPr>
                <w:rFonts w:asciiTheme="minorHAnsi" w:hAnsiTheme="minorHAnsi"/>
                <w:b/>
                <w:bCs/>
                <w:sz w:val="20"/>
              </w:rPr>
              <w:t>Rodzaj dokumentu, w</w:t>
            </w:r>
            <w:r w:rsidR="007E025A" w:rsidRPr="00E04296">
              <w:rPr>
                <w:rFonts w:asciiTheme="minorHAnsi" w:hAnsiTheme="minorHAnsi"/>
                <w:b/>
                <w:bCs/>
                <w:sz w:val="20"/>
              </w:rPr>
              <w:t> </w:t>
            </w:r>
            <w:r w:rsidRPr="00E04296">
              <w:rPr>
                <w:rFonts w:asciiTheme="minorHAnsi" w:hAnsiTheme="minorHAnsi"/>
                <w:b/>
                <w:bCs/>
                <w:sz w:val="20"/>
              </w:rPr>
              <w:t>którym określono wskaźnik</w:t>
            </w:r>
          </w:p>
        </w:tc>
      </w:tr>
      <w:tr w:rsidR="00370466" w:rsidRPr="00E04296" w:rsidTr="00F02218">
        <w:trPr>
          <w:cantSplit/>
          <w:trHeight w:val="20"/>
          <w:jc w:val="center"/>
        </w:trPr>
        <w:tc>
          <w:tcPr>
            <w:tcW w:w="1127" w:type="pct"/>
            <w:shd w:val="clear" w:color="auto" w:fill="auto"/>
          </w:tcPr>
          <w:p w:rsidR="005657D8" w:rsidRPr="00E04296" w:rsidRDefault="00332CDB" w:rsidP="00EE4C8C">
            <w:pPr>
              <w:spacing w:before="0" w:line="240" w:lineRule="auto"/>
              <w:rPr>
                <w:rFonts w:asciiTheme="minorHAnsi" w:hAnsiTheme="minorHAnsi"/>
                <w:sz w:val="20"/>
              </w:rPr>
            </w:pPr>
            <w:r w:rsidRPr="00E04296">
              <w:rPr>
                <w:rFonts w:asciiTheme="minorHAnsi" w:hAnsiTheme="minorHAnsi" w:cs="Arial"/>
                <w:sz w:val="20"/>
              </w:rPr>
              <w:t>Liczba wspartych inkubatorów przedsiębiorczości</w:t>
            </w:r>
          </w:p>
        </w:tc>
        <w:tc>
          <w:tcPr>
            <w:tcW w:w="458" w:type="pct"/>
          </w:tcPr>
          <w:p w:rsidR="005657D8" w:rsidRPr="00E04296" w:rsidRDefault="00332CDB" w:rsidP="00EE4C8C">
            <w:pPr>
              <w:spacing w:before="0" w:line="240" w:lineRule="auto"/>
              <w:rPr>
                <w:rFonts w:asciiTheme="minorHAnsi" w:hAnsiTheme="minorHAnsi"/>
                <w:sz w:val="20"/>
              </w:rPr>
            </w:pPr>
            <w:r w:rsidRPr="00E04296">
              <w:rPr>
                <w:rFonts w:asciiTheme="minorHAnsi" w:hAnsiTheme="minorHAnsi"/>
                <w:sz w:val="20"/>
              </w:rPr>
              <w:t>szt.</w:t>
            </w:r>
          </w:p>
        </w:tc>
        <w:tc>
          <w:tcPr>
            <w:tcW w:w="2442" w:type="pct"/>
            <w:shd w:val="clear" w:color="auto" w:fill="auto"/>
          </w:tcPr>
          <w:p w:rsidR="005657D8" w:rsidRPr="00E04296" w:rsidRDefault="0072791E" w:rsidP="00EE4C8C">
            <w:pPr>
              <w:spacing w:before="0" w:line="240" w:lineRule="auto"/>
              <w:rPr>
                <w:rFonts w:asciiTheme="minorHAnsi" w:hAnsiTheme="minorHAnsi" w:cs="Helv"/>
                <w:color w:val="000000" w:themeColor="text1"/>
                <w:sz w:val="20"/>
              </w:rPr>
            </w:pPr>
            <w:r w:rsidRPr="00E04296">
              <w:rPr>
                <w:rFonts w:asciiTheme="minorHAnsi" w:hAnsiTheme="minorHAnsi" w:cs="Helv"/>
                <w:color w:val="000000" w:themeColor="text1"/>
                <w:sz w:val="20"/>
              </w:rPr>
              <w:t xml:space="preserve"> </w:t>
            </w:r>
            <w:r w:rsidR="00C063C7" w:rsidRPr="00E04296">
              <w:rPr>
                <w:rFonts w:asciiTheme="minorHAnsi" w:hAnsiTheme="minorHAnsi"/>
                <w:sz w:val="20"/>
              </w:rPr>
              <w:t>Liczba wspartych projektów obejmujących prace w zakresie infrastruktury inkubatorów przedsiębiorczości (istniejących lub nowopowstałych) w celu poprawy warunków tworzenia i rozwoju MŚP.</w:t>
            </w:r>
          </w:p>
        </w:tc>
        <w:tc>
          <w:tcPr>
            <w:tcW w:w="973" w:type="pct"/>
          </w:tcPr>
          <w:p w:rsidR="005657D8" w:rsidRPr="00E04296" w:rsidRDefault="00883644" w:rsidP="00EE4C8C">
            <w:pPr>
              <w:autoSpaceDE w:val="0"/>
              <w:autoSpaceDN w:val="0"/>
              <w:adjustRightInd w:val="0"/>
              <w:spacing w:before="0" w:line="240" w:lineRule="auto"/>
              <w:jc w:val="center"/>
              <w:rPr>
                <w:rFonts w:asciiTheme="minorHAnsi" w:hAnsiTheme="minorHAnsi"/>
                <w:sz w:val="20"/>
              </w:rPr>
            </w:pPr>
            <w:r w:rsidRPr="00E04296">
              <w:rPr>
                <w:rFonts w:asciiTheme="minorHAnsi" w:hAnsiTheme="minorHAnsi"/>
                <w:sz w:val="20"/>
              </w:rPr>
              <w:t>RPO</w:t>
            </w:r>
            <w:r w:rsidR="00E93BEA" w:rsidRPr="00E04296">
              <w:rPr>
                <w:rFonts w:asciiTheme="minorHAnsi" w:hAnsiTheme="minorHAnsi"/>
                <w:sz w:val="20"/>
              </w:rPr>
              <w:t xml:space="preserve"> WD 2014-2020</w:t>
            </w:r>
          </w:p>
        </w:tc>
      </w:tr>
      <w:tr w:rsidR="000C57E0" w:rsidRPr="00E04296" w:rsidTr="00EE4C8C">
        <w:trPr>
          <w:trHeight w:val="1121"/>
          <w:jc w:val="center"/>
        </w:trPr>
        <w:tc>
          <w:tcPr>
            <w:tcW w:w="1127" w:type="pct"/>
            <w:shd w:val="clear" w:color="auto" w:fill="auto"/>
          </w:tcPr>
          <w:p w:rsidR="000C57E0" w:rsidRPr="00E04296" w:rsidRDefault="00332CDB" w:rsidP="00EE4C8C">
            <w:pPr>
              <w:spacing w:before="0" w:line="240" w:lineRule="auto"/>
              <w:contextualSpacing/>
              <w:rPr>
                <w:rFonts w:asciiTheme="minorHAnsi" w:hAnsiTheme="minorHAnsi" w:cs="ArialNarrow"/>
                <w:sz w:val="20"/>
              </w:rPr>
            </w:pPr>
            <w:r w:rsidRPr="00E04296">
              <w:rPr>
                <w:rFonts w:asciiTheme="minorHAnsi" w:hAnsiTheme="minorHAnsi" w:cs="Arial"/>
                <w:sz w:val="20"/>
              </w:rPr>
              <w:t>Liczba przedsiębiorstw otrzymujących wsparcie</w:t>
            </w:r>
          </w:p>
        </w:tc>
        <w:tc>
          <w:tcPr>
            <w:tcW w:w="458" w:type="pct"/>
          </w:tcPr>
          <w:p w:rsidR="00762973" w:rsidRPr="00E04296" w:rsidRDefault="00762973" w:rsidP="00762973">
            <w:pPr>
              <w:spacing w:before="0" w:line="240" w:lineRule="auto"/>
              <w:jc w:val="both"/>
              <w:rPr>
                <w:rFonts w:asciiTheme="minorHAnsi" w:hAnsiTheme="minorHAnsi" w:cs="ArialNarrow"/>
                <w:sz w:val="20"/>
              </w:rPr>
            </w:pPr>
            <w:r w:rsidRPr="00E04296">
              <w:rPr>
                <w:rFonts w:asciiTheme="minorHAnsi" w:hAnsiTheme="minorHAnsi" w:cs="ArialNarrow"/>
                <w:sz w:val="20"/>
              </w:rPr>
              <w:t>przedsiębio</w:t>
            </w:r>
            <w:r w:rsidR="00D20133" w:rsidRPr="00E04296">
              <w:rPr>
                <w:rFonts w:asciiTheme="minorHAnsi" w:hAnsiTheme="minorHAnsi" w:cs="ArialNarrow"/>
                <w:sz w:val="20"/>
              </w:rPr>
              <w:t>rstwa</w:t>
            </w:r>
          </w:p>
          <w:p w:rsidR="000C57E0" w:rsidRPr="00E04296" w:rsidRDefault="000C57E0" w:rsidP="00EE4C8C">
            <w:pPr>
              <w:spacing w:before="0" w:line="240" w:lineRule="auto"/>
              <w:jc w:val="both"/>
              <w:rPr>
                <w:rFonts w:asciiTheme="minorHAnsi" w:hAnsiTheme="minorHAnsi"/>
                <w:sz w:val="20"/>
              </w:rPr>
            </w:pPr>
          </w:p>
        </w:tc>
        <w:tc>
          <w:tcPr>
            <w:tcW w:w="2442" w:type="pct"/>
            <w:shd w:val="clear" w:color="auto" w:fill="auto"/>
          </w:tcPr>
          <w:p w:rsidR="00762973" w:rsidRPr="00E04296" w:rsidRDefault="00762973" w:rsidP="00762973">
            <w:pPr>
              <w:spacing w:before="0" w:line="240" w:lineRule="auto"/>
              <w:rPr>
                <w:rFonts w:asciiTheme="minorHAnsi" w:hAnsiTheme="minorHAnsi"/>
                <w:color w:val="000000" w:themeColor="text1"/>
                <w:sz w:val="20"/>
                <w:lang w:val="en-US"/>
              </w:rPr>
            </w:pPr>
            <w:r w:rsidRPr="00E04296">
              <w:rPr>
                <w:rFonts w:asciiTheme="minorHAnsi" w:hAnsiTheme="minorHAnsi"/>
                <w:color w:val="000000" w:themeColor="text1"/>
                <w:sz w:val="20"/>
                <w:lang w:val="en-US"/>
              </w:rPr>
              <w:t xml:space="preserve">Number of enterprises receiving support in any form from Structural Funds (whether the support represents state aid or not). </w:t>
            </w:r>
          </w:p>
          <w:p w:rsidR="00762973" w:rsidRPr="00E04296" w:rsidRDefault="00762973" w:rsidP="00762973">
            <w:pPr>
              <w:spacing w:before="0" w:line="240" w:lineRule="auto"/>
              <w:rPr>
                <w:rFonts w:asciiTheme="minorHAnsi" w:hAnsiTheme="minorHAnsi"/>
                <w:color w:val="000000" w:themeColor="text1"/>
                <w:sz w:val="20"/>
                <w:lang w:val="en-US"/>
              </w:rPr>
            </w:pPr>
            <w:r w:rsidRPr="00E04296">
              <w:rPr>
                <w:rFonts w:asciiTheme="minorHAnsi" w:hAnsiTheme="minorHAnsi"/>
                <w:color w:val="000000" w:themeColor="text1"/>
                <w:sz w:val="20"/>
                <w:lang w:val="en-US"/>
              </w:rPr>
              <w:t xml:space="preserve">Enterprise: </w:t>
            </w:r>
            <w:proofErr w:type="spellStart"/>
            <w:r w:rsidRPr="00E04296">
              <w:rPr>
                <w:rFonts w:asciiTheme="minorHAnsi" w:hAnsiTheme="minorHAnsi"/>
                <w:color w:val="000000" w:themeColor="text1"/>
                <w:sz w:val="20"/>
                <w:lang w:val="en-US"/>
              </w:rPr>
              <w:t>Organisation</w:t>
            </w:r>
            <w:proofErr w:type="spellEnd"/>
            <w:r w:rsidRPr="00E04296">
              <w:rPr>
                <w:rFonts w:asciiTheme="minorHAnsi" w:hAnsiTheme="minorHAnsi"/>
                <w:color w:val="000000" w:themeColor="text1"/>
                <w:sz w:val="20"/>
                <w:lang w:val="en-US"/>
              </w:rPr>
              <w:t xml:space="preserve"> producing products or services to satisfy market needs in order to reach profit. The legal form of enterprise may be various (self-employed persons, partnerships, etc.).</w:t>
            </w:r>
          </w:p>
          <w:p w:rsidR="00762973" w:rsidRPr="00E04296" w:rsidRDefault="00762973" w:rsidP="00762973">
            <w:pPr>
              <w:spacing w:before="0" w:line="240" w:lineRule="auto"/>
              <w:rPr>
                <w:rFonts w:asciiTheme="minorHAnsi" w:hAnsiTheme="minorHAnsi"/>
                <w:color w:val="000000" w:themeColor="text1"/>
                <w:sz w:val="20"/>
                <w:lang w:val="en-US"/>
              </w:rPr>
            </w:pPr>
          </w:p>
          <w:p w:rsidR="00762973" w:rsidRPr="00E04296" w:rsidRDefault="00762973" w:rsidP="00762973">
            <w:pPr>
              <w:spacing w:before="0" w:line="240" w:lineRule="auto"/>
              <w:rPr>
                <w:rFonts w:asciiTheme="minorHAnsi" w:hAnsiTheme="minorHAnsi"/>
                <w:color w:val="000000" w:themeColor="text1"/>
                <w:sz w:val="20"/>
                <w:u w:val="single"/>
              </w:rPr>
            </w:pPr>
            <w:r w:rsidRPr="00E04296">
              <w:rPr>
                <w:rFonts w:asciiTheme="minorHAnsi" w:hAnsiTheme="minorHAnsi"/>
                <w:color w:val="000000" w:themeColor="text1"/>
                <w:sz w:val="20"/>
                <w:u w:val="single"/>
              </w:rPr>
              <w:t>Wersja robocza</w:t>
            </w:r>
            <w:r w:rsidR="00A32D10" w:rsidRPr="00E04296">
              <w:rPr>
                <w:rFonts w:asciiTheme="minorHAnsi" w:hAnsiTheme="minorHAnsi"/>
                <w:color w:val="000000" w:themeColor="text1"/>
                <w:sz w:val="20"/>
                <w:u w:val="single"/>
              </w:rPr>
              <w:t xml:space="preserve"> tłumaczenia</w:t>
            </w:r>
            <w:r w:rsidRPr="00E04296">
              <w:rPr>
                <w:rFonts w:asciiTheme="minorHAnsi" w:hAnsiTheme="minorHAnsi"/>
                <w:color w:val="000000" w:themeColor="text1"/>
                <w:sz w:val="20"/>
                <w:u w:val="single"/>
              </w:rPr>
              <w:t>:</w:t>
            </w:r>
          </w:p>
          <w:p w:rsidR="00762973" w:rsidRPr="00E04296" w:rsidRDefault="00762973" w:rsidP="00762973">
            <w:pPr>
              <w:spacing w:before="0" w:line="240" w:lineRule="auto"/>
              <w:rPr>
                <w:rFonts w:asciiTheme="minorHAnsi" w:hAnsiTheme="minorHAnsi"/>
                <w:sz w:val="20"/>
              </w:rPr>
            </w:pPr>
            <w:r w:rsidRPr="00E04296">
              <w:rPr>
                <w:rFonts w:asciiTheme="minorHAnsi" w:hAnsiTheme="minorHAnsi"/>
                <w:sz w:val="20"/>
              </w:rPr>
              <w:t xml:space="preserve">Liczba przedsiębiorstw otrzymujących wsparcie w każdej formie z Europejskiego Funduszu Rozwoju Regionalnego (niezależnie czy wsparcie stanowi pomoc publiczną, czy nie). </w:t>
            </w:r>
          </w:p>
          <w:p w:rsidR="00795831" w:rsidRPr="00E04296" w:rsidRDefault="00795831" w:rsidP="00762973">
            <w:pPr>
              <w:spacing w:before="0" w:line="240" w:lineRule="auto"/>
              <w:rPr>
                <w:rFonts w:asciiTheme="minorHAnsi" w:hAnsiTheme="minorHAnsi" w:cs="Arial"/>
                <w:sz w:val="20"/>
              </w:rPr>
            </w:pPr>
            <w:r w:rsidRPr="00E04296">
              <w:rPr>
                <w:rFonts w:asciiTheme="minorHAnsi" w:hAnsiTheme="minorHAnsi"/>
                <w:sz w:val="20"/>
              </w:rPr>
              <w:t>Definicja p</w:t>
            </w:r>
            <w:r w:rsidR="00762973" w:rsidRPr="00E04296">
              <w:rPr>
                <w:rFonts w:asciiTheme="minorHAnsi" w:hAnsiTheme="minorHAnsi"/>
                <w:sz w:val="20"/>
              </w:rPr>
              <w:t>rzedsiębiorstw</w:t>
            </w:r>
            <w:r w:rsidRPr="00E04296">
              <w:rPr>
                <w:rFonts w:asciiTheme="minorHAnsi" w:hAnsiTheme="minorHAnsi"/>
                <w:sz w:val="20"/>
              </w:rPr>
              <w:t>a</w:t>
            </w:r>
            <w:r w:rsidR="00762973" w:rsidRPr="00E04296">
              <w:rPr>
                <w:rFonts w:asciiTheme="minorHAnsi" w:hAnsiTheme="minorHAnsi"/>
                <w:sz w:val="20"/>
              </w:rPr>
              <w:t xml:space="preserve"> </w:t>
            </w:r>
            <w:r w:rsidRPr="00E04296">
              <w:rPr>
                <w:rFonts w:asciiTheme="minorHAnsi" w:hAnsiTheme="minorHAnsi"/>
                <w:sz w:val="20"/>
              </w:rPr>
              <w:t xml:space="preserve">- </w:t>
            </w:r>
            <w:r w:rsidRPr="00E04296">
              <w:rPr>
                <w:rFonts w:asciiTheme="minorHAnsi" w:hAnsiTheme="minorHAnsi" w:cs="Arial"/>
                <w:sz w:val="20"/>
              </w:rPr>
              <w:t>w oparciu o Załącznik I do Rozporządzenia Komisji (UE) nr 651/2014 z dnia 17 czerwca 2014 r. uznającego niektóre rodzaje pomocy za zgodne z rynkiem wewnętrznym w zastosowaniu art. 107 i 108 Traktatu.</w:t>
            </w:r>
          </w:p>
          <w:p w:rsidR="00795831" w:rsidRPr="00E04296" w:rsidRDefault="00795831" w:rsidP="00762973">
            <w:pPr>
              <w:spacing w:before="0" w:line="240" w:lineRule="auto"/>
              <w:rPr>
                <w:rFonts w:asciiTheme="minorHAnsi" w:hAnsiTheme="minorHAnsi"/>
                <w:color w:val="000000" w:themeColor="text1"/>
                <w:sz w:val="20"/>
              </w:rPr>
            </w:pPr>
            <w:r w:rsidRPr="00E04296">
              <w:rPr>
                <w:rFonts w:asciiTheme="minorHAnsi" w:hAnsiTheme="minorHAnsi"/>
                <w:color w:val="000000" w:themeColor="text1"/>
                <w:sz w:val="20"/>
              </w:rPr>
              <w:t xml:space="preserve"> </w:t>
            </w:r>
          </w:p>
          <w:p w:rsidR="00A32D10" w:rsidRPr="00E04296" w:rsidRDefault="00A32D10" w:rsidP="00762973">
            <w:pPr>
              <w:spacing w:before="0" w:line="240" w:lineRule="auto"/>
              <w:rPr>
                <w:rFonts w:asciiTheme="minorHAnsi" w:hAnsiTheme="minorHAnsi"/>
                <w:color w:val="000000" w:themeColor="text1"/>
                <w:sz w:val="20"/>
              </w:rPr>
            </w:pPr>
            <w:r w:rsidRPr="00E04296">
              <w:rPr>
                <w:rFonts w:asciiTheme="minorHAnsi" w:hAnsiTheme="minorHAnsi"/>
                <w:color w:val="000000" w:themeColor="text1"/>
                <w:sz w:val="20"/>
              </w:rPr>
              <w:t>Sposób pomiaru:</w:t>
            </w:r>
          </w:p>
          <w:p w:rsidR="00762973" w:rsidRPr="00E04296" w:rsidRDefault="00762973" w:rsidP="00762973">
            <w:pPr>
              <w:spacing w:before="0" w:line="240" w:lineRule="auto"/>
              <w:rPr>
                <w:rFonts w:asciiTheme="minorHAnsi" w:hAnsiTheme="minorHAnsi"/>
                <w:color w:val="000000" w:themeColor="text1"/>
                <w:sz w:val="20"/>
              </w:rPr>
            </w:pPr>
            <w:r w:rsidRPr="00E04296">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w:t>
            </w:r>
          </w:p>
          <w:p w:rsidR="00762973" w:rsidRPr="00E04296" w:rsidRDefault="00762973" w:rsidP="00762973">
            <w:pPr>
              <w:spacing w:before="0" w:line="240" w:lineRule="auto"/>
              <w:rPr>
                <w:rFonts w:asciiTheme="minorHAnsi" w:hAnsiTheme="minorHAnsi"/>
                <w:color w:val="000000" w:themeColor="text1"/>
                <w:sz w:val="20"/>
              </w:rPr>
            </w:pPr>
          </w:p>
          <w:p w:rsidR="00762973" w:rsidRPr="00E04296" w:rsidRDefault="00762973" w:rsidP="00762973">
            <w:pPr>
              <w:spacing w:before="0" w:line="240" w:lineRule="auto"/>
              <w:rPr>
                <w:rFonts w:asciiTheme="minorHAnsi" w:hAnsiTheme="minorHAnsi" w:cs="Arial"/>
                <w:sz w:val="20"/>
              </w:rPr>
            </w:pPr>
            <w:r w:rsidRPr="00E04296">
              <w:rPr>
                <w:rFonts w:asciiTheme="minorHAnsi" w:hAnsiTheme="minorHAnsi"/>
                <w:color w:val="000000" w:themeColor="text1"/>
                <w:sz w:val="20"/>
              </w:rPr>
              <w:t>Wskaźnik „</w:t>
            </w:r>
            <w:r w:rsidRPr="00E04296">
              <w:rPr>
                <w:rFonts w:asciiTheme="minorHAnsi" w:hAnsiTheme="minorHAnsi" w:cs="Arial"/>
                <w:sz w:val="20"/>
              </w:rPr>
              <w:t>Liczba przedsiębiorstw otrzymujących wsparcie” występuje łącznie ze wskaźnikiem „Liczba przedsiębiorstw otrzymujących dotacje”.</w:t>
            </w:r>
          </w:p>
          <w:p w:rsidR="00A32D10" w:rsidRPr="00E04296" w:rsidRDefault="00A32D10" w:rsidP="00762973">
            <w:pPr>
              <w:spacing w:before="0" w:line="240" w:lineRule="auto"/>
              <w:rPr>
                <w:rFonts w:asciiTheme="minorHAnsi" w:hAnsiTheme="minorHAnsi" w:cs="Arial"/>
                <w:sz w:val="20"/>
              </w:rPr>
            </w:pPr>
          </w:p>
          <w:p w:rsidR="00A32D10" w:rsidRPr="00E04296" w:rsidRDefault="00A32D10" w:rsidP="00A32D10">
            <w:pPr>
              <w:spacing w:before="0" w:line="240" w:lineRule="auto"/>
              <w:jc w:val="both"/>
              <w:rPr>
                <w:rFonts w:asciiTheme="minorHAnsi" w:hAnsiTheme="minorHAnsi" w:cs="Arial"/>
                <w:sz w:val="20"/>
              </w:rPr>
            </w:pPr>
            <w:r w:rsidRPr="00E04296">
              <w:rPr>
                <w:rFonts w:asciiTheme="minorHAnsi" w:hAnsiTheme="minorHAnsi" w:cs="Arial"/>
                <w:sz w:val="20"/>
              </w:rPr>
              <w:t>Wskaźnik jako produkt może być wykazany jedynie w  przypadku MŚP.</w:t>
            </w:r>
          </w:p>
          <w:p w:rsidR="00C063C7" w:rsidRPr="00E04296" w:rsidRDefault="00C063C7" w:rsidP="00E428FC">
            <w:pPr>
              <w:spacing w:before="0" w:line="240" w:lineRule="auto"/>
              <w:rPr>
                <w:rFonts w:asciiTheme="minorHAnsi" w:hAnsiTheme="minorHAnsi"/>
                <w:color w:val="000000" w:themeColor="text1"/>
                <w:sz w:val="20"/>
              </w:rPr>
            </w:pPr>
          </w:p>
        </w:tc>
        <w:tc>
          <w:tcPr>
            <w:tcW w:w="973" w:type="pct"/>
          </w:tcPr>
          <w:p w:rsidR="000C57E0" w:rsidRPr="00E04296" w:rsidRDefault="00332CDB" w:rsidP="00EE4C8C">
            <w:pPr>
              <w:spacing w:before="0" w:line="240" w:lineRule="auto"/>
              <w:jc w:val="center"/>
              <w:rPr>
                <w:rFonts w:asciiTheme="minorHAnsi" w:hAnsiTheme="minorHAnsi"/>
                <w:sz w:val="20"/>
              </w:rPr>
            </w:pPr>
            <w:r w:rsidRPr="00E04296">
              <w:rPr>
                <w:rFonts w:asciiTheme="minorHAnsi" w:hAnsiTheme="minorHAnsi"/>
                <w:sz w:val="20"/>
              </w:rPr>
              <w:t>RPO WD 2014-2020</w:t>
            </w:r>
          </w:p>
        </w:tc>
      </w:tr>
      <w:tr w:rsidR="000C57E0" w:rsidRPr="00E04296" w:rsidTr="00080287">
        <w:trPr>
          <w:trHeight w:val="20"/>
          <w:jc w:val="center"/>
        </w:trPr>
        <w:tc>
          <w:tcPr>
            <w:tcW w:w="1127" w:type="pct"/>
            <w:shd w:val="clear" w:color="auto" w:fill="auto"/>
          </w:tcPr>
          <w:p w:rsidR="000C57E0" w:rsidRPr="00E04296" w:rsidRDefault="00332CDB" w:rsidP="00EE4C8C">
            <w:pPr>
              <w:spacing w:before="0" w:line="240" w:lineRule="auto"/>
              <w:contextualSpacing/>
              <w:rPr>
                <w:rFonts w:asciiTheme="minorHAnsi" w:hAnsiTheme="minorHAnsi" w:cs="ArialNarrow"/>
                <w:sz w:val="20"/>
              </w:rPr>
            </w:pPr>
            <w:r w:rsidRPr="00E04296">
              <w:rPr>
                <w:rFonts w:asciiTheme="minorHAnsi" w:hAnsiTheme="minorHAnsi" w:cs="Arial"/>
                <w:sz w:val="20"/>
              </w:rPr>
              <w:t xml:space="preserve">Liczba przedsiębiorstw </w:t>
            </w:r>
            <w:r w:rsidRPr="00E04296">
              <w:rPr>
                <w:rFonts w:asciiTheme="minorHAnsi" w:hAnsiTheme="minorHAnsi" w:cs="Arial"/>
                <w:sz w:val="20"/>
              </w:rPr>
              <w:lastRenderedPageBreak/>
              <w:t>otrzymujących dotacje</w:t>
            </w:r>
          </w:p>
        </w:tc>
        <w:tc>
          <w:tcPr>
            <w:tcW w:w="458" w:type="pct"/>
          </w:tcPr>
          <w:p w:rsidR="000C57E0" w:rsidRPr="00E04296" w:rsidRDefault="00762973" w:rsidP="00EE4C8C">
            <w:pPr>
              <w:spacing w:before="0" w:line="240" w:lineRule="auto"/>
              <w:jc w:val="both"/>
              <w:rPr>
                <w:rFonts w:asciiTheme="minorHAnsi" w:hAnsiTheme="minorHAnsi"/>
                <w:sz w:val="20"/>
              </w:rPr>
            </w:pPr>
            <w:r w:rsidRPr="00E04296">
              <w:rPr>
                <w:rFonts w:asciiTheme="minorHAnsi" w:hAnsiTheme="minorHAnsi" w:cs="ArialNarrow"/>
                <w:sz w:val="20"/>
              </w:rPr>
              <w:lastRenderedPageBreak/>
              <w:t>przedsi</w:t>
            </w:r>
            <w:r w:rsidRPr="00E04296">
              <w:rPr>
                <w:rFonts w:asciiTheme="minorHAnsi" w:hAnsiTheme="minorHAnsi" w:cs="ArialNarrow"/>
                <w:sz w:val="20"/>
              </w:rPr>
              <w:lastRenderedPageBreak/>
              <w:t>ębiorstwa</w:t>
            </w:r>
          </w:p>
        </w:tc>
        <w:tc>
          <w:tcPr>
            <w:tcW w:w="2442" w:type="pct"/>
            <w:shd w:val="clear" w:color="auto" w:fill="auto"/>
          </w:tcPr>
          <w:p w:rsidR="00762973" w:rsidRPr="00E04296" w:rsidRDefault="00762973" w:rsidP="00762973">
            <w:pPr>
              <w:spacing w:before="0" w:line="240" w:lineRule="auto"/>
              <w:rPr>
                <w:rFonts w:asciiTheme="minorHAnsi" w:hAnsiTheme="minorHAnsi"/>
                <w:sz w:val="20"/>
                <w:lang w:val="en-US"/>
              </w:rPr>
            </w:pPr>
            <w:r w:rsidRPr="00E04296">
              <w:rPr>
                <w:rFonts w:asciiTheme="minorHAnsi" w:hAnsiTheme="minorHAnsi"/>
                <w:sz w:val="20"/>
                <w:lang w:val="en-US"/>
              </w:rPr>
              <w:lastRenderedPageBreak/>
              <w:t xml:space="preserve">Number of enterprises receiving support in forms of </w:t>
            </w:r>
            <w:r w:rsidRPr="00E04296">
              <w:rPr>
                <w:rFonts w:asciiTheme="minorHAnsi" w:hAnsiTheme="minorHAnsi"/>
                <w:sz w:val="20"/>
                <w:lang w:val="en-US"/>
              </w:rPr>
              <w:lastRenderedPageBreak/>
              <w:t xml:space="preserve">non-refundable direct financial support conditional only to completion of project (grants). </w:t>
            </w:r>
          </w:p>
          <w:p w:rsidR="00762973" w:rsidRPr="00E04296" w:rsidRDefault="00762973" w:rsidP="00762973">
            <w:pPr>
              <w:spacing w:before="0" w:line="240" w:lineRule="auto"/>
              <w:rPr>
                <w:rFonts w:asciiTheme="minorHAnsi" w:hAnsiTheme="minorHAnsi"/>
                <w:sz w:val="20"/>
                <w:lang w:val="en-US"/>
              </w:rPr>
            </w:pPr>
            <w:r w:rsidRPr="00E04296">
              <w:rPr>
                <w:rFonts w:asciiTheme="minorHAnsi" w:hAnsiTheme="minorHAnsi"/>
                <w:sz w:val="20"/>
                <w:lang w:val="en-US"/>
              </w:rPr>
              <w:t>Subset of 'Number of enterprises receiving support.</w:t>
            </w:r>
          </w:p>
          <w:p w:rsidR="00762973" w:rsidRPr="00E04296" w:rsidRDefault="00762973" w:rsidP="00762973">
            <w:pPr>
              <w:spacing w:before="0" w:line="240" w:lineRule="auto"/>
              <w:rPr>
                <w:rFonts w:asciiTheme="minorHAnsi" w:hAnsiTheme="minorHAnsi"/>
                <w:sz w:val="20"/>
                <w:lang w:val="en-US"/>
              </w:rPr>
            </w:pPr>
          </w:p>
          <w:p w:rsidR="00762973" w:rsidRPr="00E04296" w:rsidRDefault="00762973" w:rsidP="00762973">
            <w:pPr>
              <w:spacing w:before="0" w:line="240" w:lineRule="auto"/>
              <w:rPr>
                <w:rFonts w:asciiTheme="minorHAnsi" w:hAnsiTheme="minorHAnsi"/>
                <w:sz w:val="20"/>
                <w:u w:val="single"/>
              </w:rPr>
            </w:pPr>
            <w:r w:rsidRPr="00E04296">
              <w:rPr>
                <w:rFonts w:asciiTheme="minorHAnsi" w:hAnsiTheme="minorHAnsi"/>
                <w:sz w:val="20"/>
                <w:u w:val="single"/>
              </w:rPr>
              <w:t>Wersja robocza</w:t>
            </w:r>
            <w:r w:rsidR="00A32D10" w:rsidRPr="00E04296">
              <w:rPr>
                <w:rFonts w:asciiTheme="minorHAnsi" w:hAnsiTheme="minorHAnsi"/>
                <w:sz w:val="20"/>
                <w:u w:val="single"/>
              </w:rPr>
              <w:t xml:space="preserve"> tłumaczenia</w:t>
            </w:r>
            <w:r w:rsidRPr="00E04296">
              <w:rPr>
                <w:rFonts w:asciiTheme="minorHAnsi" w:hAnsiTheme="minorHAnsi"/>
                <w:sz w:val="20"/>
                <w:u w:val="single"/>
              </w:rPr>
              <w:t>:</w:t>
            </w:r>
          </w:p>
          <w:p w:rsidR="00795831" w:rsidRPr="00E04296" w:rsidRDefault="00762973" w:rsidP="00795831">
            <w:pPr>
              <w:spacing w:before="0" w:line="240" w:lineRule="auto"/>
              <w:rPr>
                <w:rFonts w:asciiTheme="minorHAnsi" w:hAnsiTheme="minorHAnsi"/>
                <w:sz w:val="20"/>
              </w:rPr>
            </w:pPr>
            <w:r w:rsidRPr="00E04296">
              <w:rPr>
                <w:rFonts w:asciiTheme="minorHAnsi" w:hAnsiTheme="minorHAnsi"/>
                <w:sz w:val="20"/>
              </w:rPr>
              <w:t>Liczba przedsiębiorstw otrzymujących wsparcie w formie bezzwrotnego, bezpośredniego wsparcia finansowego pod warunkiem zakończenia projektu (dotacje).</w:t>
            </w:r>
          </w:p>
          <w:p w:rsidR="00762973" w:rsidRPr="00E04296" w:rsidRDefault="00795831" w:rsidP="00762973">
            <w:pPr>
              <w:spacing w:before="0" w:line="240" w:lineRule="auto"/>
              <w:rPr>
                <w:rFonts w:asciiTheme="minorHAnsi" w:hAnsiTheme="minorHAnsi" w:cs="Arial"/>
                <w:sz w:val="20"/>
              </w:rPr>
            </w:pPr>
            <w:r w:rsidRPr="00E04296">
              <w:rPr>
                <w:rFonts w:asciiTheme="minorHAnsi" w:hAnsiTheme="minorHAnsi"/>
                <w:sz w:val="20"/>
              </w:rPr>
              <w:t xml:space="preserve">Definicja przedsiębiorstwa - </w:t>
            </w:r>
            <w:r w:rsidRPr="00E04296">
              <w:rPr>
                <w:rFonts w:asciiTheme="minorHAnsi" w:hAnsiTheme="minorHAnsi" w:cs="Arial"/>
                <w:sz w:val="20"/>
              </w:rPr>
              <w:t>w oparciu o Załącznik I do Rozporządzenia Komisji (UE) nr 651/2014 z dnia 17 czerwca 2014 r. uznającego niektóre rodzaje pomocy za zgodne z rynkiem wewnętrznym w zastosowaniu art. 107 i 108 Traktatu.</w:t>
            </w:r>
          </w:p>
          <w:p w:rsidR="00795831" w:rsidRPr="00E04296" w:rsidRDefault="00795831" w:rsidP="00762973">
            <w:pPr>
              <w:spacing w:before="0" w:line="240" w:lineRule="auto"/>
              <w:rPr>
                <w:rFonts w:asciiTheme="minorHAnsi" w:hAnsiTheme="minorHAnsi"/>
                <w:sz w:val="20"/>
              </w:rPr>
            </w:pPr>
          </w:p>
          <w:p w:rsidR="00795831" w:rsidRPr="00E04296" w:rsidRDefault="00C02E80" w:rsidP="00762973">
            <w:pPr>
              <w:spacing w:before="0" w:line="240" w:lineRule="auto"/>
              <w:rPr>
                <w:rFonts w:asciiTheme="minorHAnsi" w:hAnsiTheme="minorHAnsi"/>
                <w:sz w:val="20"/>
              </w:rPr>
            </w:pPr>
            <w:r w:rsidRPr="00E04296">
              <w:rPr>
                <w:rFonts w:asciiTheme="minorHAnsi" w:hAnsiTheme="minorHAnsi"/>
                <w:sz w:val="20"/>
              </w:rPr>
              <w:t>Sposób pomiaru:</w:t>
            </w:r>
          </w:p>
          <w:p w:rsidR="00762973" w:rsidRPr="00E04296" w:rsidRDefault="00762973" w:rsidP="00762973">
            <w:pPr>
              <w:spacing w:before="0" w:line="240" w:lineRule="auto"/>
              <w:rPr>
                <w:rFonts w:asciiTheme="minorHAnsi" w:hAnsiTheme="minorHAnsi"/>
                <w:sz w:val="20"/>
              </w:rPr>
            </w:pPr>
            <w:r w:rsidRPr="00E04296">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w:t>
            </w:r>
            <w:r w:rsidR="002C1BFC" w:rsidRPr="00E04296">
              <w:rPr>
                <w:rFonts w:asciiTheme="minorHAnsi" w:eastAsiaTheme="minorHAnsi" w:hAnsiTheme="minorHAnsi"/>
                <w:sz w:val="20"/>
                <w:lang w:eastAsia="en-US"/>
              </w:rPr>
              <w:t xml:space="preserve"> (a partner otrzymuje dotację) </w:t>
            </w:r>
            <w:r w:rsidRPr="00E04296">
              <w:rPr>
                <w:rFonts w:asciiTheme="minorHAnsi" w:eastAsiaTheme="minorHAnsi" w:hAnsiTheme="minorHAnsi"/>
                <w:sz w:val="20"/>
                <w:lang w:eastAsia="en-US"/>
              </w:rPr>
              <w:t>w wartości wskaźnika należy ująć każdy z podmiotów wchodzących w skład partnerstwa.</w:t>
            </w:r>
          </w:p>
          <w:p w:rsidR="00762973" w:rsidRPr="00E04296" w:rsidRDefault="00762973" w:rsidP="00762973">
            <w:pPr>
              <w:spacing w:before="0" w:line="240" w:lineRule="auto"/>
              <w:rPr>
                <w:rFonts w:asciiTheme="minorHAnsi" w:hAnsiTheme="minorHAnsi"/>
                <w:sz w:val="20"/>
              </w:rPr>
            </w:pPr>
          </w:p>
          <w:p w:rsidR="00762973" w:rsidRPr="00E04296" w:rsidRDefault="00762973" w:rsidP="00762973">
            <w:pPr>
              <w:spacing w:before="0" w:line="240" w:lineRule="auto"/>
              <w:rPr>
                <w:rFonts w:asciiTheme="minorHAnsi" w:hAnsiTheme="minorHAnsi" w:cs="Arial"/>
                <w:sz w:val="20"/>
              </w:rPr>
            </w:pPr>
            <w:r w:rsidRPr="00E04296">
              <w:rPr>
                <w:rFonts w:asciiTheme="minorHAnsi" w:hAnsiTheme="minorHAnsi"/>
                <w:sz w:val="20"/>
              </w:rPr>
              <w:t>Wskaźnik „</w:t>
            </w:r>
            <w:r w:rsidRPr="00E04296">
              <w:rPr>
                <w:rFonts w:asciiTheme="minorHAnsi" w:hAnsiTheme="minorHAnsi" w:cs="Arial"/>
                <w:sz w:val="20"/>
              </w:rPr>
              <w:t>Liczba przedsiębiorstw otrzymujących dotacje” występuje łącznie ze wskaźnikiem „Liczba przedsiębiorstw otrzymujących wsparcie”.</w:t>
            </w:r>
          </w:p>
          <w:p w:rsidR="00C063C7" w:rsidRPr="00E04296" w:rsidRDefault="00C063C7" w:rsidP="00E428FC">
            <w:pPr>
              <w:spacing w:before="0" w:line="240" w:lineRule="auto"/>
              <w:rPr>
                <w:rFonts w:asciiTheme="minorHAnsi" w:hAnsiTheme="minorHAnsi"/>
                <w:sz w:val="20"/>
              </w:rPr>
            </w:pPr>
          </w:p>
          <w:p w:rsidR="00C02E80" w:rsidRPr="00E04296" w:rsidRDefault="00C02E80" w:rsidP="00C02E80">
            <w:pPr>
              <w:spacing w:before="0" w:line="240" w:lineRule="auto"/>
              <w:jc w:val="both"/>
              <w:rPr>
                <w:rFonts w:asciiTheme="minorHAnsi" w:hAnsiTheme="minorHAnsi" w:cs="Arial"/>
                <w:sz w:val="20"/>
              </w:rPr>
            </w:pPr>
            <w:r w:rsidRPr="00E04296">
              <w:rPr>
                <w:rFonts w:asciiTheme="minorHAnsi" w:hAnsiTheme="minorHAnsi" w:cs="Arial"/>
                <w:sz w:val="20"/>
              </w:rPr>
              <w:t>Wskaźnik jako produkt może być wykazany jedynie w  przypadku MŚP.</w:t>
            </w:r>
          </w:p>
          <w:p w:rsidR="00C02E80" w:rsidRPr="00E04296" w:rsidRDefault="00C02E80" w:rsidP="00E428FC">
            <w:pPr>
              <w:spacing w:before="0" w:line="240" w:lineRule="auto"/>
              <w:rPr>
                <w:rFonts w:asciiTheme="minorHAnsi" w:hAnsiTheme="minorHAnsi"/>
                <w:sz w:val="20"/>
              </w:rPr>
            </w:pPr>
          </w:p>
        </w:tc>
        <w:tc>
          <w:tcPr>
            <w:tcW w:w="973" w:type="pct"/>
          </w:tcPr>
          <w:p w:rsidR="000C57E0" w:rsidRPr="00E04296" w:rsidRDefault="00332CDB" w:rsidP="00EE4C8C">
            <w:pPr>
              <w:spacing w:before="0" w:line="240" w:lineRule="auto"/>
              <w:jc w:val="center"/>
              <w:rPr>
                <w:rFonts w:asciiTheme="minorHAnsi" w:hAnsiTheme="minorHAnsi"/>
                <w:sz w:val="20"/>
              </w:rPr>
            </w:pPr>
            <w:r w:rsidRPr="00E04296">
              <w:rPr>
                <w:rFonts w:asciiTheme="minorHAnsi" w:hAnsiTheme="minorHAnsi"/>
                <w:sz w:val="20"/>
              </w:rPr>
              <w:lastRenderedPageBreak/>
              <w:t>RPO WD 2014-</w:t>
            </w:r>
            <w:r w:rsidRPr="00E04296">
              <w:rPr>
                <w:rFonts w:asciiTheme="minorHAnsi" w:hAnsiTheme="minorHAnsi"/>
                <w:sz w:val="20"/>
              </w:rPr>
              <w:lastRenderedPageBreak/>
              <w:t>2020</w:t>
            </w:r>
          </w:p>
        </w:tc>
      </w:tr>
      <w:tr w:rsidR="00370466" w:rsidRPr="00E04296" w:rsidTr="003D2C3D">
        <w:trPr>
          <w:trHeight w:val="20"/>
          <w:jc w:val="center"/>
        </w:trPr>
        <w:tc>
          <w:tcPr>
            <w:tcW w:w="1127" w:type="pct"/>
            <w:shd w:val="clear" w:color="auto" w:fill="auto"/>
          </w:tcPr>
          <w:p w:rsidR="005657D8" w:rsidRPr="00E04296" w:rsidRDefault="00332CDB" w:rsidP="00EE4C8C">
            <w:pPr>
              <w:spacing w:before="0" w:line="240" w:lineRule="auto"/>
              <w:rPr>
                <w:rFonts w:asciiTheme="minorHAnsi" w:hAnsiTheme="minorHAnsi"/>
                <w:sz w:val="20"/>
              </w:rPr>
            </w:pPr>
            <w:r w:rsidRPr="00E04296">
              <w:rPr>
                <w:rFonts w:asciiTheme="minorHAnsi" w:hAnsiTheme="minorHAnsi" w:cs="Arial"/>
                <w:sz w:val="20"/>
              </w:rPr>
              <w:lastRenderedPageBreak/>
              <w:t>Inwestycje prywatne uzupełniające wsparcie publiczne dla przedsiębiorstw (dotacje)</w:t>
            </w:r>
          </w:p>
        </w:tc>
        <w:tc>
          <w:tcPr>
            <w:tcW w:w="458" w:type="pct"/>
          </w:tcPr>
          <w:p w:rsidR="005657D8" w:rsidRPr="00E04296" w:rsidRDefault="00332CDB" w:rsidP="00332CDB">
            <w:pPr>
              <w:spacing w:before="0" w:line="240" w:lineRule="auto"/>
              <w:jc w:val="both"/>
              <w:rPr>
                <w:rFonts w:asciiTheme="minorHAnsi" w:hAnsiTheme="minorHAnsi"/>
                <w:sz w:val="20"/>
              </w:rPr>
            </w:pPr>
            <w:r w:rsidRPr="00E04296">
              <w:rPr>
                <w:rFonts w:asciiTheme="minorHAnsi" w:hAnsiTheme="minorHAnsi" w:cs="ArialNarrow"/>
                <w:sz w:val="20"/>
              </w:rPr>
              <w:t xml:space="preserve">zł </w:t>
            </w:r>
          </w:p>
        </w:tc>
        <w:tc>
          <w:tcPr>
            <w:tcW w:w="2442" w:type="pct"/>
            <w:shd w:val="clear" w:color="auto" w:fill="auto"/>
          </w:tcPr>
          <w:p w:rsidR="00E428FC" w:rsidRPr="00E04296" w:rsidRDefault="00DC686F" w:rsidP="00E428FC">
            <w:pPr>
              <w:spacing w:before="0" w:line="240" w:lineRule="auto"/>
              <w:rPr>
                <w:rFonts w:asciiTheme="minorHAnsi" w:hAnsiTheme="minorHAnsi"/>
                <w:color w:val="000000" w:themeColor="text1"/>
                <w:sz w:val="20"/>
                <w:lang w:val="en-US"/>
              </w:rPr>
            </w:pPr>
            <w:r w:rsidRPr="00E04296">
              <w:rPr>
                <w:rFonts w:asciiTheme="minorHAnsi" w:hAnsiTheme="minorHAnsi"/>
                <w:color w:val="000000" w:themeColor="text1"/>
                <w:sz w:val="20"/>
                <w:lang w:val="en-US"/>
              </w:rPr>
              <w:t xml:space="preserve"> </w:t>
            </w:r>
            <w:r w:rsidR="00E428FC" w:rsidRPr="00E04296">
              <w:rPr>
                <w:rFonts w:asciiTheme="minorHAnsi" w:hAnsiTheme="minorHAnsi"/>
                <w:color w:val="000000" w:themeColor="text1"/>
                <w:sz w:val="20"/>
                <w:lang w:val="en-US"/>
              </w:rPr>
              <w:t xml:space="preserve">Total value of private contribution in supported project that qualifies as state aid where the </w:t>
            </w:r>
          </w:p>
          <w:p w:rsidR="00E428FC" w:rsidRPr="00E04296" w:rsidRDefault="00E428FC" w:rsidP="00E428FC">
            <w:pPr>
              <w:spacing w:before="0" w:line="240" w:lineRule="auto"/>
              <w:rPr>
                <w:rFonts w:asciiTheme="minorHAnsi" w:hAnsiTheme="minorHAnsi"/>
                <w:color w:val="000000" w:themeColor="text1"/>
                <w:sz w:val="20"/>
                <w:lang w:val="en-US"/>
              </w:rPr>
            </w:pPr>
            <w:r w:rsidRPr="00E04296">
              <w:rPr>
                <w:rFonts w:asciiTheme="minorHAnsi" w:hAnsiTheme="minorHAnsi"/>
                <w:color w:val="000000" w:themeColor="text1"/>
                <w:sz w:val="20"/>
                <w:lang w:val="en-US"/>
              </w:rPr>
              <w:t xml:space="preserve">form of support is grant (see Common Indicator 2 'Number of enterprises receiving grants'), </w:t>
            </w:r>
          </w:p>
          <w:p w:rsidR="005657D8" w:rsidRPr="00E04296" w:rsidRDefault="00E428FC" w:rsidP="00E428FC">
            <w:pPr>
              <w:spacing w:before="0" w:line="240" w:lineRule="auto"/>
              <w:rPr>
                <w:rFonts w:asciiTheme="minorHAnsi" w:hAnsiTheme="minorHAnsi"/>
                <w:color w:val="000000" w:themeColor="text1"/>
                <w:sz w:val="20"/>
                <w:lang w:val="en-US"/>
              </w:rPr>
            </w:pPr>
            <w:r w:rsidRPr="00E04296">
              <w:rPr>
                <w:rFonts w:asciiTheme="minorHAnsi" w:hAnsiTheme="minorHAnsi"/>
                <w:color w:val="000000" w:themeColor="text1"/>
                <w:sz w:val="20"/>
                <w:lang w:val="en-US"/>
              </w:rPr>
              <w:t>including non-eligible parts of the project.</w:t>
            </w:r>
          </w:p>
          <w:p w:rsidR="00C063C7" w:rsidRPr="00E04296" w:rsidRDefault="00C063C7" w:rsidP="00E428FC">
            <w:pPr>
              <w:spacing w:before="0" w:line="240" w:lineRule="auto"/>
              <w:rPr>
                <w:rFonts w:asciiTheme="minorHAnsi" w:hAnsiTheme="minorHAnsi"/>
                <w:color w:val="000000" w:themeColor="text1"/>
                <w:sz w:val="20"/>
                <w:lang w:val="en-US"/>
              </w:rPr>
            </w:pPr>
          </w:p>
          <w:p w:rsidR="00C063C7" w:rsidRPr="00E04296" w:rsidRDefault="00C063C7" w:rsidP="00E428FC">
            <w:pPr>
              <w:spacing w:before="0" w:line="240" w:lineRule="auto"/>
              <w:rPr>
                <w:rFonts w:asciiTheme="minorHAnsi" w:hAnsiTheme="minorHAnsi"/>
                <w:color w:val="000000" w:themeColor="text1"/>
                <w:sz w:val="20"/>
                <w:u w:val="single"/>
              </w:rPr>
            </w:pPr>
            <w:r w:rsidRPr="00E04296">
              <w:rPr>
                <w:rFonts w:asciiTheme="minorHAnsi" w:hAnsiTheme="minorHAnsi"/>
                <w:color w:val="000000" w:themeColor="text1"/>
                <w:sz w:val="20"/>
                <w:u w:val="single"/>
              </w:rPr>
              <w:t>Wersja robocza</w:t>
            </w:r>
            <w:r w:rsidR="00A32D10" w:rsidRPr="00E04296">
              <w:rPr>
                <w:rFonts w:asciiTheme="minorHAnsi" w:hAnsiTheme="minorHAnsi"/>
                <w:color w:val="000000" w:themeColor="text1"/>
                <w:sz w:val="20"/>
                <w:u w:val="single"/>
              </w:rPr>
              <w:t xml:space="preserve"> tłumaczenia</w:t>
            </w:r>
            <w:r w:rsidRPr="00E04296">
              <w:rPr>
                <w:rFonts w:asciiTheme="minorHAnsi" w:hAnsiTheme="minorHAnsi"/>
                <w:color w:val="000000" w:themeColor="text1"/>
                <w:sz w:val="20"/>
                <w:u w:val="single"/>
              </w:rPr>
              <w:t>:</w:t>
            </w:r>
          </w:p>
          <w:p w:rsidR="00C063C7" w:rsidRPr="00E04296" w:rsidRDefault="006E2656" w:rsidP="006E2656">
            <w:pPr>
              <w:spacing w:before="0" w:line="240" w:lineRule="auto"/>
              <w:jc w:val="both"/>
              <w:rPr>
                <w:rFonts w:asciiTheme="minorHAnsi" w:hAnsiTheme="minorHAnsi"/>
                <w:color w:val="000000" w:themeColor="text1"/>
                <w:sz w:val="20"/>
              </w:rPr>
            </w:pPr>
            <w:r w:rsidRPr="00E04296">
              <w:rPr>
                <w:rFonts w:asciiTheme="minorHAnsi" w:hAnsiTheme="minorHAnsi"/>
                <w:sz w:val="20"/>
              </w:rPr>
              <w:t>Całkowita wartość wkładu prywatnego we wspieranych projektach, w tym wydatki niekwalifikowalne projektu. Jeżeli inwestycja kwalifikuje się również do pomocy publicznej, w której formą wsparcia jest dotacja, to powinna zostać wykazana we wszystkich powiązanych wskaźnikach (patrz wskaźnik „Liczba przedsiębiorstw otrzymujących dotacje”).</w:t>
            </w:r>
          </w:p>
        </w:tc>
        <w:tc>
          <w:tcPr>
            <w:tcW w:w="973" w:type="pct"/>
          </w:tcPr>
          <w:p w:rsidR="005657D8" w:rsidRPr="00E04296" w:rsidRDefault="006E2656" w:rsidP="00EE4C8C">
            <w:pPr>
              <w:spacing w:before="0" w:line="240" w:lineRule="auto"/>
              <w:jc w:val="center"/>
              <w:rPr>
                <w:rFonts w:asciiTheme="minorHAnsi" w:hAnsiTheme="minorHAnsi"/>
                <w:sz w:val="20"/>
              </w:rPr>
            </w:pPr>
            <w:r w:rsidRPr="00E04296">
              <w:rPr>
                <w:rFonts w:asciiTheme="minorHAnsi" w:hAnsiTheme="minorHAnsi"/>
                <w:sz w:val="20"/>
              </w:rPr>
              <w:t>SZOOP RPO WD  2014-2020</w:t>
            </w:r>
          </w:p>
        </w:tc>
      </w:tr>
      <w:tr w:rsidR="00F02218" w:rsidRPr="00E04296" w:rsidTr="00F02218">
        <w:trPr>
          <w:trHeight w:val="20"/>
          <w:jc w:val="center"/>
        </w:trPr>
        <w:tc>
          <w:tcPr>
            <w:tcW w:w="1127" w:type="pct"/>
            <w:shd w:val="clear" w:color="auto" w:fill="auto"/>
            <w:vAlign w:val="center"/>
          </w:tcPr>
          <w:p w:rsidR="00F02218" w:rsidRPr="00E04296" w:rsidRDefault="00A214C1" w:rsidP="00EE4C8C">
            <w:pPr>
              <w:spacing w:before="0" w:line="240" w:lineRule="auto"/>
              <w:rPr>
                <w:rFonts w:asciiTheme="minorHAnsi" w:eastAsiaTheme="minorHAnsi" w:hAnsiTheme="minorHAnsi"/>
                <w:sz w:val="20"/>
                <w:lang w:eastAsia="en-US"/>
              </w:rPr>
            </w:pPr>
            <w:r w:rsidRPr="00E04296">
              <w:rPr>
                <w:rFonts w:asciiTheme="minorHAnsi" w:hAnsiTheme="minorHAnsi"/>
                <w:sz w:val="20"/>
              </w:rPr>
              <w:t>Liczba obiektów dostosowanych do potrzeb osób z niepełnosprawnościami</w:t>
            </w:r>
          </w:p>
        </w:tc>
        <w:tc>
          <w:tcPr>
            <w:tcW w:w="458" w:type="pct"/>
            <w:vAlign w:val="center"/>
          </w:tcPr>
          <w:p w:rsidR="00F02218" w:rsidRPr="00E04296" w:rsidRDefault="00F02218" w:rsidP="00EE4C8C">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szt.</w:t>
            </w:r>
          </w:p>
        </w:tc>
        <w:tc>
          <w:tcPr>
            <w:tcW w:w="2442" w:type="pct"/>
            <w:shd w:val="clear" w:color="auto" w:fill="auto"/>
          </w:tcPr>
          <w:p w:rsidR="007E73B8" w:rsidRPr="00E04296" w:rsidRDefault="007E73B8" w:rsidP="007E73B8">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7E73B8" w:rsidRPr="00E04296" w:rsidRDefault="007E73B8" w:rsidP="007E73B8">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 xml:space="preserve">Jako obiekty budowlane należy rozumieć konstrukcje połączone z gruntem w sposób trwały, wykonane z materiałów budowlanych i elementów składowych, </w:t>
            </w:r>
            <w:r w:rsidRPr="00E04296">
              <w:rPr>
                <w:rFonts w:asciiTheme="minorHAnsi" w:eastAsiaTheme="minorHAnsi" w:hAnsiTheme="minorHAnsi"/>
                <w:sz w:val="20"/>
                <w:lang w:eastAsia="en-US"/>
              </w:rPr>
              <w:lastRenderedPageBreak/>
              <w:t>będące wynikiem prac budowlanych (wg. def. PKOB).</w:t>
            </w:r>
          </w:p>
          <w:p w:rsidR="007E73B8" w:rsidRPr="00E04296" w:rsidRDefault="007E73B8" w:rsidP="007E73B8">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Należy podać liczbę obiektów, a nie sprzętów, urządzeń itp., w które obiekty zaopatrzono.</w:t>
            </w:r>
          </w:p>
          <w:p w:rsidR="00F02218" w:rsidRPr="00E04296" w:rsidRDefault="007E73B8" w:rsidP="007E73B8">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Jeśli instytucja, zakład itp. składa się z kilku obiektów, należy zliczyć wszystkie, które dostosowano do potrzeb osób niepełnosprawnych.</w:t>
            </w:r>
          </w:p>
        </w:tc>
        <w:tc>
          <w:tcPr>
            <w:tcW w:w="973" w:type="pct"/>
          </w:tcPr>
          <w:p w:rsidR="00F02218" w:rsidRPr="00E04296" w:rsidRDefault="00F02218" w:rsidP="003F1889">
            <w:pPr>
              <w:spacing w:before="0" w:line="240" w:lineRule="auto"/>
              <w:jc w:val="center"/>
              <w:rPr>
                <w:rFonts w:asciiTheme="minorHAnsi" w:eastAsiaTheme="minorHAnsi" w:hAnsiTheme="minorHAnsi"/>
                <w:sz w:val="20"/>
                <w:lang w:eastAsia="en-US"/>
              </w:rPr>
            </w:pPr>
            <w:r w:rsidRPr="00E04296">
              <w:rPr>
                <w:rFonts w:asciiTheme="minorHAnsi" w:eastAsiaTheme="minorHAnsi" w:hAnsiTheme="minorHAnsi"/>
                <w:sz w:val="20"/>
                <w:lang w:eastAsia="en-US"/>
              </w:rPr>
              <w:lastRenderedPageBreak/>
              <w:t>horyzontalny</w:t>
            </w:r>
          </w:p>
        </w:tc>
      </w:tr>
      <w:tr w:rsidR="00F02218" w:rsidRPr="00E04296" w:rsidTr="00F02218">
        <w:trPr>
          <w:trHeight w:val="20"/>
          <w:jc w:val="center"/>
        </w:trPr>
        <w:tc>
          <w:tcPr>
            <w:tcW w:w="1127" w:type="pct"/>
            <w:shd w:val="clear" w:color="auto" w:fill="auto"/>
          </w:tcPr>
          <w:p w:rsidR="00F02218" w:rsidRPr="00E04296" w:rsidRDefault="00F02218" w:rsidP="00EE4C8C">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Liczba osób objętych szkoleniami / doradztwem w zakresie kompetencji cyfrowych O/K/M</w:t>
            </w:r>
          </w:p>
        </w:tc>
        <w:tc>
          <w:tcPr>
            <w:tcW w:w="458" w:type="pct"/>
          </w:tcPr>
          <w:p w:rsidR="00F02218" w:rsidRPr="00E04296" w:rsidRDefault="00F02218" w:rsidP="00EE4C8C">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os.</w:t>
            </w:r>
          </w:p>
        </w:tc>
        <w:tc>
          <w:tcPr>
            <w:tcW w:w="2442" w:type="pct"/>
            <w:shd w:val="clear" w:color="auto" w:fill="auto"/>
          </w:tcPr>
          <w:p w:rsidR="00F02218" w:rsidRPr="00E04296" w:rsidRDefault="00F02218" w:rsidP="00EE4C8C">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E04296">
              <w:rPr>
                <w:rFonts w:asciiTheme="minorHAnsi" w:eastAsiaTheme="minorHAnsi" w:hAnsiTheme="minorHAnsi"/>
                <w:sz w:val="20"/>
                <w:lang w:eastAsia="en-US"/>
              </w:rPr>
              <w:t>internetu</w:t>
            </w:r>
            <w:proofErr w:type="spellEnd"/>
            <w:r w:rsidRPr="00E04296">
              <w:rPr>
                <w:rFonts w:asciiTheme="minorHAnsi" w:eastAsiaTheme="minorHAnsi" w:hAnsiTheme="minorHAnsi"/>
                <w:sz w:val="20"/>
                <w:lang w:eastAsia="en-US"/>
              </w:rPr>
              <w:t xml:space="preserve"> oraz kompetencji ściśle informatycznych (np. programowanie, zarządzanie bazami danych, administracja sieciami, administracja witrynami internetowymi). </w:t>
            </w:r>
          </w:p>
          <w:p w:rsidR="00F02218" w:rsidRPr="00E04296" w:rsidRDefault="00F02218" w:rsidP="00EE4C8C">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E04296">
              <w:rPr>
                <w:rFonts w:asciiTheme="minorHAnsi" w:eastAsiaTheme="minorHAnsi" w:hAnsiTheme="minorHAnsi"/>
                <w:sz w:val="20"/>
                <w:lang w:eastAsia="en-US"/>
              </w:rPr>
              <w:t>financingu</w:t>
            </w:r>
            <w:proofErr w:type="spellEnd"/>
            <w:r w:rsidRPr="00E04296">
              <w:rPr>
                <w:rFonts w:asciiTheme="minorHAnsi" w:eastAsiaTheme="minorHAnsi" w:hAnsiTheme="minorHAnsi"/>
                <w:sz w:val="20"/>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F02218" w:rsidRPr="00E04296" w:rsidRDefault="00F02218" w:rsidP="003F1889">
            <w:pPr>
              <w:spacing w:before="0" w:line="240" w:lineRule="auto"/>
              <w:jc w:val="center"/>
              <w:rPr>
                <w:rFonts w:asciiTheme="minorHAnsi" w:eastAsiaTheme="minorHAnsi" w:hAnsiTheme="minorHAnsi"/>
                <w:sz w:val="20"/>
                <w:lang w:eastAsia="en-US"/>
              </w:rPr>
            </w:pPr>
            <w:r w:rsidRPr="00E04296">
              <w:rPr>
                <w:rFonts w:asciiTheme="minorHAnsi" w:eastAsiaTheme="minorHAnsi" w:hAnsiTheme="minorHAnsi"/>
                <w:sz w:val="20"/>
                <w:lang w:eastAsia="en-US"/>
              </w:rPr>
              <w:t>Horyzontalny</w:t>
            </w:r>
          </w:p>
        </w:tc>
      </w:tr>
      <w:tr w:rsidR="00F02218" w:rsidRPr="00E04296" w:rsidTr="00F02218">
        <w:trPr>
          <w:trHeight w:val="20"/>
          <w:jc w:val="center"/>
        </w:trPr>
        <w:tc>
          <w:tcPr>
            <w:tcW w:w="1127" w:type="pct"/>
            <w:shd w:val="clear" w:color="auto" w:fill="auto"/>
          </w:tcPr>
          <w:p w:rsidR="00F02218" w:rsidRPr="00E04296" w:rsidRDefault="00F02218" w:rsidP="00EE4C8C">
            <w:pPr>
              <w:spacing w:before="0" w:line="240" w:lineRule="auto"/>
              <w:rPr>
                <w:rFonts w:asciiTheme="minorHAnsi" w:eastAsiaTheme="minorHAnsi" w:hAnsiTheme="minorHAnsi"/>
                <w:sz w:val="20"/>
                <w:lang w:eastAsia="en-US"/>
              </w:rPr>
            </w:pPr>
            <w:r w:rsidRPr="00E04296">
              <w:rPr>
                <w:rFonts w:asciiTheme="minorHAnsi" w:eastAsiaTheme="minorHAnsi" w:hAnsiTheme="minorHAnsi" w:cs="Arial"/>
                <w:color w:val="000000"/>
                <w:sz w:val="20"/>
                <w:lang w:eastAsia="en-US"/>
              </w:rPr>
              <w:t>Liczba projektów, w których sfinansowano koszty racjonalnych usprawnień dla osób z niepełnosprawnościami</w:t>
            </w:r>
          </w:p>
        </w:tc>
        <w:tc>
          <w:tcPr>
            <w:tcW w:w="458" w:type="pct"/>
          </w:tcPr>
          <w:p w:rsidR="00F02218" w:rsidRPr="00E04296" w:rsidRDefault="00F02218" w:rsidP="00EE4C8C">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 xml:space="preserve">szt. </w:t>
            </w:r>
          </w:p>
        </w:tc>
        <w:tc>
          <w:tcPr>
            <w:tcW w:w="2442" w:type="pct"/>
            <w:shd w:val="clear" w:color="auto" w:fill="auto"/>
          </w:tcPr>
          <w:p w:rsidR="00F02218" w:rsidRPr="00E04296" w:rsidRDefault="00F02218" w:rsidP="00EE4C8C">
            <w:pPr>
              <w:autoSpaceDE w:val="0"/>
              <w:autoSpaceDN w:val="0"/>
              <w:adjustRightInd w:val="0"/>
              <w:spacing w:before="0" w:line="240" w:lineRule="auto"/>
              <w:rPr>
                <w:rFonts w:asciiTheme="minorHAnsi" w:eastAsiaTheme="minorHAnsi" w:hAnsiTheme="minorHAnsi" w:cs="Arial"/>
                <w:color w:val="000000"/>
                <w:sz w:val="20"/>
                <w:lang w:eastAsia="en-US"/>
              </w:rPr>
            </w:pPr>
            <w:r w:rsidRPr="00E04296">
              <w:rPr>
                <w:rFonts w:asciiTheme="minorHAnsi" w:eastAsiaTheme="minorHAnsi" w:hAnsiTheme="minorHAnsi" w:cs="Arial"/>
                <w:color w:val="000000"/>
                <w:sz w:val="20"/>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F02218" w:rsidRPr="00E04296" w:rsidRDefault="00F02218" w:rsidP="00EE4C8C">
            <w:pPr>
              <w:autoSpaceDE w:val="0"/>
              <w:autoSpaceDN w:val="0"/>
              <w:adjustRightInd w:val="0"/>
              <w:spacing w:before="0" w:line="240" w:lineRule="auto"/>
              <w:rPr>
                <w:rFonts w:asciiTheme="minorHAnsi" w:eastAsiaTheme="minorHAnsi" w:hAnsiTheme="minorHAnsi" w:cs="Arial"/>
                <w:color w:val="000000"/>
                <w:sz w:val="20"/>
                <w:lang w:eastAsia="en-US"/>
              </w:rPr>
            </w:pPr>
            <w:r w:rsidRPr="00E04296">
              <w:rPr>
                <w:rFonts w:asciiTheme="minorHAnsi" w:eastAsiaTheme="minorHAnsi" w:hAnsiTheme="minorHAnsi" w:cs="Arial"/>
                <w:color w:val="000000"/>
                <w:sz w:val="20"/>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F02218" w:rsidRPr="00E04296" w:rsidRDefault="00F02218" w:rsidP="00EE4C8C">
            <w:pPr>
              <w:spacing w:before="0" w:line="240" w:lineRule="auto"/>
              <w:rPr>
                <w:rFonts w:asciiTheme="minorHAnsi" w:eastAsiaTheme="minorHAnsi" w:hAnsiTheme="minorHAnsi"/>
                <w:sz w:val="20"/>
                <w:lang w:eastAsia="en-US"/>
              </w:rPr>
            </w:pPr>
            <w:r w:rsidRPr="00E04296">
              <w:rPr>
                <w:rFonts w:asciiTheme="minorHAnsi" w:eastAsiaTheme="minorHAnsi" w:hAnsiTheme="minorHAnsi" w:cs="Arial"/>
                <w:color w:val="000000"/>
                <w:sz w:val="20"/>
                <w:lang w:eastAsia="en-US"/>
              </w:rPr>
              <w:t xml:space="preserve">Definicja na podstawie </w:t>
            </w:r>
            <w:r w:rsidRPr="00E04296">
              <w:rPr>
                <w:rFonts w:asciiTheme="minorHAnsi" w:eastAsiaTheme="minorHAnsi" w:hAnsiTheme="minorHAnsi" w:cs="Arial"/>
                <w:i/>
                <w:iCs/>
                <w:color w:val="000000"/>
                <w:sz w:val="20"/>
                <w:lang w:eastAsia="en-US"/>
              </w:rPr>
              <w:t>Wytycznych w zakresie realizacji zasady równości szans i niedyskryminacji, w tym dostępności dla osób z niepełnosprawnościami oraz równości szans kobiet i mężczyzn w ramach funduszy unijnych na lata 2014-2020</w:t>
            </w:r>
            <w:r w:rsidRPr="00E04296">
              <w:rPr>
                <w:rFonts w:asciiTheme="minorHAnsi" w:eastAsiaTheme="minorHAnsi" w:hAnsiTheme="minorHAnsi" w:cs="Arial"/>
                <w:color w:val="000000"/>
                <w:sz w:val="20"/>
                <w:lang w:eastAsia="en-US"/>
              </w:rPr>
              <w:t>.</w:t>
            </w:r>
          </w:p>
        </w:tc>
        <w:tc>
          <w:tcPr>
            <w:tcW w:w="973" w:type="pct"/>
          </w:tcPr>
          <w:p w:rsidR="00F02218" w:rsidRPr="00E04296" w:rsidRDefault="00F02218" w:rsidP="003F1889">
            <w:pPr>
              <w:autoSpaceDE w:val="0"/>
              <w:autoSpaceDN w:val="0"/>
              <w:adjustRightInd w:val="0"/>
              <w:spacing w:before="0" w:line="240" w:lineRule="auto"/>
              <w:jc w:val="center"/>
              <w:rPr>
                <w:rFonts w:asciiTheme="minorHAnsi" w:eastAsiaTheme="minorHAnsi" w:hAnsiTheme="minorHAnsi" w:cs="Arial"/>
                <w:color w:val="000000"/>
                <w:sz w:val="20"/>
                <w:lang w:eastAsia="en-US"/>
              </w:rPr>
            </w:pPr>
            <w:r w:rsidRPr="00E04296">
              <w:rPr>
                <w:rFonts w:asciiTheme="minorHAnsi" w:eastAsiaTheme="minorHAnsi" w:hAnsiTheme="minorHAnsi" w:cs="Arial"/>
                <w:color w:val="000000"/>
                <w:sz w:val="20"/>
                <w:lang w:eastAsia="en-US"/>
              </w:rPr>
              <w:t>horyzontalny</w:t>
            </w:r>
          </w:p>
        </w:tc>
      </w:tr>
      <w:tr w:rsidR="00A214C1" w:rsidRPr="00E04296" w:rsidTr="00F02218">
        <w:trPr>
          <w:trHeight w:val="20"/>
          <w:jc w:val="center"/>
        </w:trPr>
        <w:tc>
          <w:tcPr>
            <w:tcW w:w="1127" w:type="pct"/>
            <w:shd w:val="clear" w:color="auto" w:fill="auto"/>
          </w:tcPr>
          <w:p w:rsidR="00A214C1" w:rsidRPr="00E04296" w:rsidRDefault="00A214C1" w:rsidP="00EE4C8C">
            <w:pPr>
              <w:spacing w:before="0" w:line="240" w:lineRule="auto"/>
              <w:rPr>
                <w:rFonts w:asciiTheme="minorHAnsi" w:eastAsiaTheme="minorHAnsi" w:hAnsiTheme="minorHAnsi" w:cs="Arial"/>
                <w:color w:val="000000"/>
                <w:sz w:val="20"/>
                <w:lang w:eastAsia="en-US"/>
              </w:rPr>
            </w:pPr>
            <w:r w:rsidRPr="00E04296">
              <w:rPr>
                <w:rFonts w:asciiTheme="minorHAnsi" w:hAnsiTheme="minorHAnsi"/>
                <w:sz w:val="20"/>
              </w:rPr>
              <w:t>Liczba podmiotów wykorzystujących technologie informacyjno-</w:t>
            </w:r>
            <w:r w:rsidRPr="00E04296">
              <w:rPr>
                <w:rFonts w:asciiTheme="minorHAnsi" w:hAnsiTheme="minorHAnsi"/>
                <w:sz w:val="20"/>
              </w:rPr>
              <w:lastRenderedPageBreak/>
              <w:t>komunikacyjne</w:t>
            </w:r>
            <w:r w:rsidR="007E73B8" w:rsidRPr="00E04296">
              <w:rPr>
                <w:rFonts w:asciiTheme="minorHAnsi" w:hAnsiTheme="minorHAnsi"/>
                <w:sz w:val="20"/>
              </w:rPr>
              <w:t xml:space="preserve"> (TIK)</w:t>
            </w:r>
          </w:p>
        </w:tc>
        <w:tc>
          <w:tcPr>
            <w:tcW w:w="458" w:type="pct"/>
          </w:tcPr>
          <w:p w:rsidR="00A214C1" w:rsidRPr="00E04296" w:rsidRDefault="00A214C1" w:rsidP="00EE4C8C">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lastRenderedPageBreak/>
              <w:t>szt.</w:t>
            </w:r>
          </w:p>
        </w:tc>
        <w:tc>
          <w:tcPr>
            <w:tcW w:w="2442" w:type="pct"/>
            <w:shd w:val="clear" w:color="auto" w:fill="auto"/>
          </w:tcPr>
          <w:p w:rsidR="007E73B8" w:rsidRPr="00E04296" w:rsidRDefault="007E73B8" w:rsidP="007E73B8">
            <w:pPr>
              <w:spacing w:before="0" w:line="240" w:lineRule="auto"/>
              <w:jc w:val="both"/>
              <w:rPr>
                <w:rFonts w:asciiTheme="minorHAnsi" w:eastAsiaTheme="minorHAnsi" w:hAnsiTheme="minorHAnsi"/>
                <w:sz w:val="20"/>
                <w:lang w:eastAsia="en-US"/>
              </w:rPr>
            </w:pPr>
            <w:r w:rsidRPr="00E04296">
              <w:rPr>
                <w:rFonts w:asciiTheme="minorHAnsi" w:eastAsiaTheme="minorHAnsi" w:hAnsiTheme="minorHAnsi"/>
                <w:sz w:val="20"/>
                <w:lang w:eastAsia="en-US"/>
              </w:rPr>
              <w:t xml:space="preserve">Wskaźnik mierzy liczbę podmiotów, które w celu realizacji projektu zainwestowały w technologie informacyjno-komunikacyjne, a w przypadku projektów edukacyjno-szkoleniowych, również </w:t>
            </w:r>
            <w:r w:rsidRPr="00E04296">
              <w:rPr>
                <w:rFonts w:asciiTheme="minorHAnsi" w:eastAsiaTheme="minorHAnsi" w:hAnsiTheme="minorHAnsi"/>
                <w:sz w:val="20"/>
                <w:lang w:eastAsia="en-US"/>
              </w:rPr>
              <w:lastRenderedPageBreak/>
              <w:t>podmiotów, które podjęły działania upowszechniające wykorzystanie TIK.</w:t>
            </w:r>
          </w:p>
          <w:p w:rsidR="007E73B8" w:rsidRPr="00E04296" w:rsidRDefault="007E73B8" w:rsidP="007E73B8">
            <w:pPr>
              <w:spacing w:before="0" w:line="240" w:lineRule="auto"/>
              <w:jc w:val="both"/>
              <w:rPr>
                <w:rFonts w:asciiTheme="minorHAnsi" w:eastAsiaTheme="minorHAnsi" w:hAnsiTheme="minorHAnsi"/>
                <w:sz w:val="20"/>
                <w:lang w:eastAsia="en-US"/>
              </w:rPr>
            </w:pPr>
          </w:p>
          <w:p w:rsidR="007E73B8" w:rsidRPr="00E04296" w:rsidRDefault="007E73B8" w:rsidP="007E73B8">
            <w:pPr>
              <w:spacing w:before="0" w:line="240" w:lineRule="auto"/>
              <w:jc w:val="both"/>
              <w:rPr>
                <w:rFonts w:asciiTheme="minorHAnsi" w:eastAsiaTheme="minorHAnsi" w:hAnsiTheme="minorHAnsi"/>
                <w:sz w:val="20"/>
                <w:lang w:eastAsia="en-US"/>
              </w:rPr>
            </w:pPr>
            <w:r w:rsidRPr="00E04296">
              <w:rPr>
                <w:rFonts w:asciiTheme="minorHAnsi" w:eastAsiaTheme="minorHAnsi" w:hAnsiTheme="minorHAnsi"/>
                <w:sz w:val="20"/>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7E73B8" w:rsidRPr="00E04296" w:rsidRDefault="007E73B8" w:rsidP="007E73B8">
            <w:pPr>
              <w:spacing w:before="0" w:line="240" w:lineRule="auto"/>
              <w:jc w:val="both"/>
              <w:rPr>
                <w:rFonts w:asciiTheme="minorHAnsi" w:eastAsiaTheme="minorHAnsi" w:hAnsiTheme="minorHAnsi"/>
                <w:sz w:val="20"/>
                <w:lang w:eastAsia="en-US"/>
              </w:rPr>
            </w:pPr>
          </w:p>
          <w:p w:rsidR="007E73B8" w:rsidRPr="00E04296" w:rsidRDefault="007E73B8" w:rsidP="007E73B8">
            <w:pPr>
              <w:spacing w:before="0" w:line="240" w:lineRule="auto"/>
              <w:jc w:val="both"/>
              <w:rPr>
                <w:rFonts w:asciiTheme="minorHAnsi" w:eastAsiaTheme="minorHAnsi" w:hAnsiTheme="minorHAnsi"/>
                <w:sz w:val="20"/>
                <w:lang w:eastAsia="en-US"/>
              </w:rPr>
            </w:pPr>
            <w:r w:rsidRPr="00E04296">
              <w:rPr>
                <w:rFonts w:asciiTheme="minorHAnsi" w:eastAsiaTheme="minorHAnsi" w:hAnsiTheme="minorHAnsi"/>
                <w:sz w:val="20"/>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7E73B8" w:rsidRPr="00E04296" w:rsidRDefault="007E73B8" w:rsidP="007E73B8">
            <w:pPr>
              <w:spacing w:before="0" w:line="240" w:lineRule="auto"/>
              <w:jc w:val="both"/>
              <w:rPr>
                <w:rFonts w:asciiTheme="minorHAnsi" w:eastAsiaTheme="minorHAnsi" w:hAnsiTheme="minorHAnsi"/>
                <w:sz w:val="20"/>
                <w:lang w:eastAsia="en-US"/>
              </w:rPr>
            </w:pPr>
          </w:p>
          <w:p w:rsidR="00A214C1" w:rsidRPr="00E04296" w:rsidRDefault="00CF79AF" w:rsidP="00F60155">
            <w:pPr>
              <w:autoSpaceDE w:val="0"/>
              <w:autoSpaceDN w:val="0"/>
              <w:adjustRightInd w:val="0"/>
              <w:spacing w:before="0" w:line="240" w:lineRule="auto"/>
              <w:jc w:val="both"/>
              <w:rPr>
                <w:rFonts w:asciiTheme="minorHAnsi" w:eastAsiaTheme="minorHAnsi" w:hAnsiTheme="minorHAnsi" w:cs="Arial"/>
                <w:color w:val="000000"/>
                <w:sz w:val="20"/>
                <w:lang w:eastAsia="en-US"/>
              </w:rPr>
            </w:pPr>
            <w:r w:rsidRPr="00E04296">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973" w:type="pct"/>
          </w:tcPr>
          <w:p w:rsidR="00A214C1" w:rsidRPr="00E04296" w:rsidRDefault="00A214C1" w:rsidP="003F1889">
            <w:pPr>
              <w:autoSpaceDE w:val="0"/>
              <w:autoSpaceDN w:val="0"/>
              <w:adjustRightInd w:val="0"/>
              <w:spacing w:before="0" w:line="240" w:lineRule="auto"/>
              <w:jc w:val="center"/>
              <w:rPr>
                <w:rFonts w:asciiTheme="minorHAnsi" w:eastAsiaTheme="minorHAnsi" w:hAnsiTheme="minorHAnsi" w:cs="Arial"/>
                <w:color w:val="000000"/>
                <w:sz w:val="20"/>
                <w:lang w:eastAsia="en-US"/>
              </w:rPr>
            </w:pPr>
            <w:r w:rsidRPr="00E04296">
              <w:rPr>
                <w:rFonts w:asciiTheme="minorHAnsi" w:eastAsiaTheme="minorHAnsi" w:hAnsiTheme="minorHAnsi" w:cs="Arial"/>
                <w:color w:val="000000"/>
                <w:sz w:val="20"/>
                <w:lang w:eastAsia="en-US"/>
              </w:rPr>
              <w:lastRenderedPageBreak/>
              <w:t>horyzontalny</w:t>
            </w:r>
          </w:p>
        </w:tc>
      </w:tr>
    </w:tbl>
    <w:p w:rsidR="00DF6D97" w:rsidRPr="00E04296" w:rsidRDefault="00DF6D97" w:rsidP="007650AC">
      <w:pPr>
        <w:autoSpaceDE w:val="0"/>
        <w:autoSpaceDN w:val="0"/>
        <w:adjustRightInd w:val="0"/>
        <w:spacing w:before="0" w:line="240" w:lineRule="auto"/>
        <w:jc w:val="both"/>
        <w:rPr>
          <w:rFonts w:asciiTheme="minorHAnsi" w:hAnsiTheme="minorHAnsi"/>
        </w:rPr>
      </w:pPr>
    </w:p>
    <w:p w:rsidR="00DF6D97" w:rsidRPr="00E04296" w:rsidRDefault="00DF6D97" w:rsidP="00233FBD">
      <w:pPr>
        <w:spacing w:before="0" w:after="200" w:line="276" w:lineRule="auto"/>
        <w:rPr>
          <w:rFonts w:asciiTheme="minorHAnsi" w:hAnsiTheme="minorHAnsi" w:cs="Arial"/>
          <w:szCs w:val="22"/>
        </w:rPr>
      </w:pPr>
      <w:r w:rsidRPr="00E04296">
        <w:rPr>
          <w:rFonts w:asciiTheme="minorHAnsi" w:hAnsiTheme="minorHAnsi"/>
          <w:b/>
          <w:szCs w:val="22"/>
        </w:rPr>
        <w:t>Wskaźniki rezultatu bezpośredniego</w:t>
      </w:r>
      <w:r w:rsidRPr="00E04296">
        <w:rPr>
          <w:rFonts w:asciiTheme="minorHAnsi" w:hAnsiTheme="minorHAnsi"/>
          <w:szCs w:val="22"/>
        </w:rPr>
        <w:t xml:space="preserve"> są to w</w:t>
      </w:r>
      <w:r w:rsidRPr="00E04296">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t xml:space="preserve">Dla każdego z wybranych wskaźników Wnioskodawca zobowiązany jest do wskazania </w:t>
      </w:r>
      <w:r w:rsidRPr="00E04296">
        <w:rPr>
          <w:rFonts w:asciiTheme="minorHAnsi" w:hAnsiTheme="minorHAnsi"/>
          <w:i/>
          <w:sz w:val="22"/>
          <w:szCs w:val="22"/>
        </w:rPr>
        <w:t>„Jednostki miary”</w:t>
      </w:r>
      <w:r w:rsidRPr="00E04296">
        <w:rPr>
          <w:rFonts w:asciiTheme="minorHAnsi" w:hAnsiTheme="minorHAnsi"/>
          <w:sz w:val="22"/>
          <w:szCs w:val="22"/>
        </w:rPr>
        <w:t xml:space="preserve">, </w:t>
      </w:r>
      <w:r w:rsidRPr="00E04296">
        <w:rPr>
          <w:rFonts w:asciiTheme="minorHAnsi" w:hAnsiTheme="minorHAnsi"/>
          <w:i/>
          <w:sz w:val="22"/>
          <w:szCs w:val="22"/>
        </w:rPr>
        <w:t>„Wartości bazowej”</w:t>
      </w:r>
      <w:r w:rsidRPr="00E04296">
        <w:rPr>
          <w:rFonts w:asciiTheme="minorHAnsi" w:hAnsiTheme="minorHAnsi"/>
          <w:sz w:val="22"/>
          <w:szCs w:val="22"/>
        </w:rPr>
        <w:t xml:space="preserve">, </w:t>
      </w:r>
      <w:r w:rsidRPr="00E04296">
        <w:rPr>
          <w:rFonts w:asciiTheme="minorHAnsi" w:hAnsiTheme="minorHAnsi"/>
          <w:i/>
          <w:sz w:val="22"/>
          <w:szCs w:val="22"/>
        </w:rPr>
        <w:t>„Wartości docelowej wskaźnika”</w:t>
      </w:r>
      <w:r w:rsidRPr="00E04296">
        <w:rPr>
          <w:rFonts w:asciiTheme="minorHAnsi" w:hAnsiTheme="minorHAnsi"/>
          <w:sz w:val="22"/>
          <w:szCs w:val="22"/>
        </w:rPr>
        <w:t xml:space="preserve">, a także </w:t>
      </w:r>
      <w:r w:rsidRPr="00E04296">
        <w:rPr>
          <w:rFonts w:asciiTheme="minorHAnsi" w:hAnsiTheme="minorHAnsi"/>
          <w:i/>
          <w:sz w:val="22"/>
          <w:szCs w:val="22"/>
        </w:rPr>
        <w:t>„Źródła informacji o wskaźniku”</w:t>
      </w:r>
      <w:r w:rsidRPr="00E04296">
        <w:rPr>
          <w:rFonts w:asciiTheme="minorHAnsi" w:hAnsiTheme="minorHAnsi"/>
          <w:sz w:val="22"/>
          <w:szCs w:val="22"/>
        </w:rPr>
        <w:t xml:space="preserve">. </w:t>
      </w:r>
    </w:p>
    <w:p w:rsidR="00DF6D97" w:rsidRPr="00E04296" w:rsidRDefault="00DF6D97" w:rsidP="00DF6D97">
      <w:pPr>
        <w:pStyle w:val="Default"/>
        <w:jc w:val="both"/>
        <w:rPr>
          <w:rFonts w:asciiTheme="minorHAnsi" w:hAnsiTheme="minorHAnsi"/>
          <w:sz w:val="22"/>
          <w:szCs w:val="22"/>
        </w:rPr>
      </w:pPr>
      <w:r w:rsidRPr="00E04296">
        <w:rPr>
          <w:rFonts w:asciiTheme="minorHAnsi" w:hAnsiTheme="minorHAnsi"/>
          <w:sz w:val="22"/>
          <w:szCs w:val="22"/>
        </w:rPr>
        <w:t>Wartość docelowa dla wskaźnika rezultatu to wyrażony liczbowo stan danego wskaźnika uzyskany w efekcie realizacji projektu</w:t>
      </w:r>
      <w:r w:rsidR="00F9504B" w:rsidRPr="00E04296">
        <w:rPr>
          <w:rFonts w:asciiTheme="minorHAnsi" w:hAnsiTheme="minorHAnsi"/>
          <w:sz w:val="22"/>
          <w:szCs w:val="22"/>
        </w:rPr>
        <w:t>.</w:t>
      </w:r>
      <w:r w:rsidRPr="00E04296">
        <w:rPr>
          <w:rFonts w:asciiTheme="minorHAnsi" w:hAnsiTheme="minorHAnsi"/>
          <w:sz w:val="22"/>
          <w:szCs w:val="22"/>
        </w:rPr>
        <w:t xml:space="preserve"> </w:t>
      </w:r>
    </w:p>
    <w:p w:rsidR="002A1BDB" w:rsidRPr="00E04296" w:rsidRDefault="002A1BDB" w:rsidP="002A1BDB">
      <w:pPr>
        <w:autoSpaceDE w:val="0"/>
        <w:autoSpaceDN w:val="0"/>
        <w:adjustRightInd w:val="0"/>
        <w:spacing w:before="0" w:line="240" w:lineRule="auto"/>
        <w:jc w:val="both"/>
        <w:rPr>
          <w:rFonts w:asciiTheme="minorHAnsi" w:hAnsiTheme="minorHAnsi"/>
          <w:szCs w:val="22"/>
        </w:rPr>
      </w:pPr>
      <w:r w:rsidRPr="00E04296">
        <w:rPr>
          <w:rFonts w:asciiTheme="minorHAnsi" w:hAnsiTheme="minorHAnsi"/>
          <w:szCs w:val="22"/>
        </w:rPr>
        <w:t>Jako źródło informacji o wskaźniku wskazać należy odpowiedni dokument (np. umowy z przedsiębiorstwami, które ulokowały się na wspartej  infrastrukturze).</w:t>
      </w:r>
    </w:p>
    <w:p w:rsidR="00233FBD" w:rsidRPr="00E04296" w:rsidRDefault="00233FBD" w:rsidP="007650AC">
      <w:pPr>
        <w:autoSpaceDE w:val="0"/>
        <w:autoSpaceDN w:val="0"/>
        <w:adjustRightInd w:val="0"/>
        <w:spacing w:before="120" w:after="120" w:line="240" w:lineRule="auto"/>
        <w:jc w:val="both"/>
        <w:rPr>
          <w:rFonts w:asciiTheme="minorHAnsi" w:hAnsiTheme="minorHAnsi"/>
          <w:szCs w:val="22"/>
        </w:rPr>
      </w:pPr>
    </w:p>
    <w:p w:rsidR="00233FBD" w:rsidRPr="00E04296" w:rsidRDefault="00233FBD" w:rsidP="007650AC">
      <w:pPr>
        <w:autoSpaceDE w:val="0"/>
        <w:autoSpaceDN w:val="0"/>
        <w:adjustRightInd w:val="0"/>
        <w:spacing w:before="120" w:after="120" w:line="240" w:lineRule="auto"/>
        <w:jc w:val="both"/>
        <w:rPr>
          <w:rFonts w:asciiTheme="minorHAnsi" w:hAnsiTheme="minorHAnsi"/>
          <w:szCs w:val="22"/>
        </w:rPr>
      </w:pPr>
    </w:p>
    <w:p w:rsidR="008C495E" w:rsidRPr="00E04296" w:rsidRDefault="003D3BC5" w:rsidP="007650AC">
      <w:pPr>
        <w:autoSpaceDE w:val="0"/>
        <w:autoSpaceDN w:val="0"/>
        <w:adjustRightInd w:val="0"/>
        <w:spacing w:before="120" w:after="120" w:line="240" w:lineRule="auto"/>
        <w:jc w:val="both"/>
        <w:rPr>
          <w:rFonts w:asciiTheme="minorHAnsi" w:hAnsiTheme="minorHAnsi"/>
          <w:szCs w:val="22"/>
        </w:rPr>
      </w:pPr>
      <w:r w:rsidRPr="00E04296">
        <w:rPr>
          <w:rFonts w:asciiTheme="minorHAnsi" w:hAnsiTheme="minorHAnsi"/>
          <w:szCs w:val="22"/>
        </w:rPr>
        <w:t xml:space="preserve">W ramach Działania </w:t>
      </w:r>
      <w:r w:rsidR="00A214C1" w:rsidRPr="00E04296">
        <w:rPr>
          <w:rFonts w:asciiTheme="minorHAnsi" w:hAnsiTheme="minorHAnsi"/>
          <w:szCs w:val="22"/>
        </w:rPr>
        <w:t>1.3</w:t>
      </w:r>
      <w:r w:rsidR="00D20133" w:rsidRPr="00E04296">
        <w:rPr>
          <w:rFonts w:asciiTheme="minorHAnsi" w:hAnsiTheme="minorHAnsi"/>
          <w:szCs w:val="22"/>
        </w:rPr>
        <w:t xml:space="preserve"> B </w:t>
      </w:r>
      <w:r w:rsidRPr="00E04296">
        <w:rPr>
          <w:rFonts w:asciiTheme="minorHAnsi" w:hAnsiTheme="minorHAnsi"/>
          <w:szCs w:val="22"/>
        </w:rPr>
        <w:t>określono poniższe wskaźniki</w:t>
      </w:r>
      <w:r w:rsidRPr="00E04296">
        <w:rPr>
          <w:rFonts w:asciiTheme="minorHAnsi" w:hAnsiTheme="minorHAnsi"/>
          <w:b/>
          <w:szCs w:val="22"/>
        </w:rPr>
        <w:t xml:space="preserve"> rezultatu bezpośredniego</w:t>
      </w:r>
      <w:r w:rsidRPr="00E04296">
        <w:rPr>
          <w:rFonts w:asciiTheme="minorHAnsi" w:hAnsiTheme="minorHAnsi"/>
          <w:szCs w:val="22"/>
        </w:rPr>
        <w:t>:</w:t>
      </w: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16"/>
        <w:gridCol w:w="1306"/>
        <w:gridCol w:w="3841"/>
        <w:gridCol w:w="1955"/>
      </w:tblGrid>
      <w:tr w:rsidR="005657D8" w:rsidRPr="00E04296" w:rsidTr="00403791">
        <w:trPr>
          <w:trHeight w:val="19"/>
          <w:jc w:val="center"/>
        </w:trPr>
        <w:tc>
          <w:tcPr>
            <w:tcW w:w="1189" w:type="pct"/>
            <w:shd w:val="clear" w:color="auto" w:fill="D9D9D9" w:themeFill="background1" w:themeFillShade="D9"/>
            <w:vAlign w:val="center"/>
          </w:tcPr>
          <w:p w:rsidR="005657D8" w:rsidRPr="00E04296" w:rsidRDefault="005657D8" w:rsidP="007650AC">
            <w:pPr>
              <w:spacing w:before="0" w:line="240" w:lineRule="auto"/>
              <w:jc w:val="center"/>
              <w:rPr>
                <w:rFonts w:asciiTheme="minorHAnsi" w:hAnsiTheme="minorHAnsi"/>
                <w:b/>
                <w:sz w:val="20"/>
              </w:rPr>
            </w:pPr>
            <w:r w:rsidRPr="00E04296">
              <w:rPr>
                <w:rFonts w:asciiTheme="minorHAnsi" w:hAnsiTheme="minorHAnsi"/>
                <w:b/>
                <w:sz w:val="20"/>
              </w:rPr>
              <w:t>Nazwa wskaźnika rezultatu bezpośredniego</w:t>
            </w:r>
          </w:p>
        </w:tc>
        <w:tc>
          <w:tcPr>
            <w:tcW w:w="701" w:type="pct"/>
            <w:shd w:val="clear" w:color="auto" w:fill="D9D9D9" w:themeFill="background1" w:themeFillShade="D9"/>
          </w:tcPr>
          <w:p w:rsidR="005657D8" w:rsidRPr="00E04296" w:rsidRDefault="005657D8" w:rsidP="007650AC">
            <w:pPr>
              <w:suppressAutoHyphens/>
              <w:spacing w:before="0" w:line="240" w:lineRule="auto"/>
              <w:jc w:val="center"/>
              <w:rPr>
                <w:rFonts w:asciiTheme="minorHAnsi" w:hAnsiTheme="minorHAnsi"/>
                <w:b/>
                <w:bCs/>
                <w:sz w:val="20"/>
              </w:rPr>
            </w:pPr>
            <w:r w:rsidRPr="00E04296">
              <w:rPr>
                <w:rFonts w:asciiTheme="minorHAnsi" w:hAnsiTheme="minorHAnsi"/>
                <w:b/>
                <w:bCs/>
                <w:sz w:val="20"/>
              </w:rPr>
              <w:t>Jednostka miary</w:t>
            </w:r>
          </w:p>
        </w:tc>
        <w:tc>
          <w:tcPr>
            <w:tcW w:w="2061" w:type="pct"/>
            <w:shd w:val="clear" w:color="auto" w:fill="D9D9D9" w:themeFill="background1" w:themeFillShade="D9"/>
            <w:vAlign w:val="center"/>
          </w:tcPr>
          <w:p w:rsidR="005657D8" w:rsidRPr="00E04296" w:rsidRDefault="005657D8" w:rsidP="007650AC">
            <w:pPr>
              <w:suppressAutoHyphens/>
              <w:spacing w:before="0" w:line="240" w:lineRule="auto"/>
              <w:jc w:val="center"/>
              <w:rPr>
                <w:rFonts w:asciiTheme="minorHAnsi" w:hAnsiTheme="minorHAnsi"/>
                <w:b/>
                <w:sz w:val="20"/>
              </w:rPr>
            </w:pPr>
            <w:r w:rsidRPr="00E04296">
              <w:rPr>
                <w:rFonts w:asciiTheme="minorHAnsi" w:hAnsiTheme="minorHAnsi"/>
                <w:b/>
                <w:bCs/>
                <w:sz w:val="20"/>
              </w:rPr>
              <w:t>Definicja wskaźnika</w:t>
            </w:r>
          </w:p>
        </w:tc>
        <w:tc>
          <w:tcPr>
            <w:tcW w:w="1049" w:type="pct"/>
            <w:shd w:val="clear" w:color="auto" w:fill="D9D9D9" w:themeFill="background1" w:themeFillShade="D9"/>
          </w:tcPr>
          <w:p w:rsidR="005657D8" w:rsidRPr="00E04296" w:rsidRDefault="007E025A" w:rsidP="007650AC">
            <w:pPr>
              <w:suppressAutoHyphens/>
              <w:spacing w:before="0" w:line="240" w:lineRule="auto"/>
              <w:jc w:val="center"/>
              <w:rPr>
                <w:rFonts w:asciiTheme="minorHAnsi" w:hAnsiTheme="minorHAnsi"/>
                <w:b/>
                <w:bCs/>
                <w:sz w:val="20"/>
              </w:rPr>
            </w:pPr>
            <w:r w:rsidRPr="00E04296">
              <w:rPr>
                <w:rFonts w:asciiTheme="minorHAnsi" w:hAnsiTheme="minorHAnsi"/>
                <w:b/>
                <w:bCs/>
                <w:sz w:val="20"/>
              </w:rPr>
              <w:t>Rodzaj dokumentu, w </w:t>
            </w:r>
            <w:r w:rsidR="005657D8" w:rsidRPr="00E04296">
              <w:rPr>
                <w:rFonts w:asciiTheme="minorHAnsi" w:hAnsiTheme="minorHAnsi"/>
                <w:b/>
                <w:bCs/>
                <w:sz w:val="20"/>
              </w:rPr>
              <w:t>którym określono wskaźnik</w:t>
            </w:r>
          </w:p>
        </w:tc>
      </w:tr>
      <w:tr w:rsidR="005F0E5F" w:rsidRPr="00E04296" w:rsidTr="00852665">
        <w:trPr>
          <w:trHeight w:val="19"/>
          <w:jc w:val="center"/>
        </w:trPr>
        <w:tc>
          <w:tcPr>
            <w:tcW w:w="1189" w:type="pct"/>
            <w:shd w:val="clear" w:color="auto" w:fill="auto"/>
          </w:tcPr>
          <w:p w:rsidR="005F0E5F" w:rsidRPr="00E04296" w:rsidRDefault="00A214C1" w:rsidP="00EE4C8C">
            <w:pPr>
              <w:pStyle w:val="Default"/>
              <w:rPr>
                <w:rFonts w:asciiTheme="minorHAnsi" w:hAnsiTheme="minorHAnsi"/>
              </w:rPr>
            </w:pPr>
            <w:r w:rsidRPr="00E04296">
              <w:rPr>
                <w:rFonts w:asciiTheme="minorHAnsi" w:hAnsiTheme="minorHAnsi" w:cs="Arial"/>
              </w:rPr>
              <w:t>Liczba przedsiębiorstw otrzymujących wsparcie</w:t>
            </w:r>
          </w:p>
        </w:tc>
        <w:tc>
          <w:tcPr>
            <w:tcW w:w="701" w:type="pct"/>
          </w:tcPr>
          <w:p w:rsidR="005F0E5F" w:rsidRPr="00E04296" w:rsidRDefault="00D20133" w:rsidP="003F1889">
            <w:pPr>
              <w:spacing w:before="0" w:line="240" w:lineRule="auto"/>
              <w:jc w:val="center"/>
              <w:rPr>
                <w:rFonts w:asciiTheme="minorHAnsi" w:hAnsiTheme="minorHAnsi"/>
                <w:sz w:val="20"/>
              </w:rPr>
            </w:pPr>
            <w:r w:rsidRPr="00E04296">
              <w:rPr>
                <w:rFonts w:asciiTheme="minorHAnsi" w:eastAsiaTheme="minorHAnsi" w:hAnsiTheme="minorHAnsi"/>
                <w:sz w:val="20"/>
                <w:lang w:eastAsia="en-US"/>
              </w:rPr>
              <w:t>przedsiębiorstwa</w:t>
            </w:r>
          </w:p>
        </w:tc>
        <w:tc>
          <w:tcPr>
            <w:tcW w:w="2061" w:type="pct"/>
            <w:shd w:val="clear" w:color="auto" w:fill="auto"/>
          </w:tcPr>
          <w:p w:rsidR="00D569AA" w:rsidRPr="00E04296" w:rsidRDefault="00D569AA" w:rsidP="00D569AA">
            <w:pPr>
              <w:spacing w:before="0" w:line="240" w:lineRule="auto"/>
              <w:rPr>
                <w:rFonts w:asciiTheme="minorHAnsi" w:hAnsiTheme="minorHAnsi"/>
                <w:color w:val="000000" w:themeColor="text1"/>
                <w:sz w:val="20"/>
                <w:lang w:val="en-US"/>
              </w:rPr>
            </w:pPr>
            <w:r w:rsidRPr="00E04296">
              <w:rPr>
                <w:rFonts w:asciiTheme="minorHAnsi" w:hAnsiTheme="minorHAnsi"/>
                <w:color w:val="000000" w:themeColor="text1"/>
                <w:sz w:val="20"/>
                <w:lang w:val="en-US"/>
              </w:rPr>
              <w:t xml:space="preserve">Number of enterprises receiving support in any form from Structural Funds (whether </w:t>
            </w:r>
            <w:r w:rsidRPr="00E04296">
              <w:rPr>
                <w:rFonts w:asciiTheme="minorHAnsi" w:hAnsiTheme="minorHAnsi"/>
                <w:color w:val="000000" w:themeColor="text1"/>
                <w:sz w:val="20"/>
                <w:lang w:val="en-US"/>
              </w:rPr>
              <w:lastRenderedPageBreak/>
              <w:t xml:space="preserve">the support represents state aid or not). </w:t>
            </w:r>
          </w:p>
          <w:p w:rsidR="00D569AA" w:rsidRPr="00E04296" w:rsidRDefault="00D569AA" w:rsidP="00D569AA">
            <w:pPr>
              <w:spacing w:before="0" w:line="240" w:lineRule="auto"/>
              <w:rPr>
                <w:rFonts w:asciiTheme="minorHAnsi" w:hAnsiTheme="minorHAnsi"/>
                <w:color w:val="000000" w:themeColor="text1"/>
                <w:sz w:val="20"/>
                <w:lang w:val="en-US"/>
              </w:rPr>
            </w:pPr>
            <w:r w:rsidRPr="00E04296">
              <w:rPr>
                <w:rFonts w:asciiTheme="minorHAnsi" w:hAnsiTheme="minorHAnsi"/>
                <w:color w:val="000000" w:themeColor="text1"/>
                <w:sz w:val="20"/>
                <w:lang w:val="en-US"/>
              </w:rPr>
              <w:t xml:space="preserve">Enterprise: </w:t>
            </w:r>
            <w:proofErr w:type="spellStart"/>
            <w:r w:rsidRPr="00E04296">
              <w:rPr>
                <w:rFonts w:asciiTheme="minorHAnsi" w:hAnsiTheme="minorHAnsi"/>
                <w:color w:val="000000" w:themeColor="text1"/>
                <w:sz w:val="20"/>
                <w:lang w:val="en-US"/>
              </w:rPr>
              <w:t>Organisation</w:t>
            </w:r>
            <w:proofErr w:type="spellEnd"/>
            <w:r w:rsidRPr="00E04296">
              <w:rPr>
                <w:rFonts w:asciiTheme="minorHAnsi" w:hAnsiTheme="minorHAnsi"/>
                <w:color w:val="000000" w:themeColor="text1"/>
                <w:sz w:val="20"/>
                <w:lang w:val="en-US"/>
              </w:rPr>
              <w:t xml:space="preserve"> producing products or services to satisfy market needs in order to reach </w:t>
            </w:r>
          </w:p>
          <w:p w:rsidR="00D569AA" w:rsidRPr="00E04296" w:rsidRDefault="00D569AA" w:rsidP="00D569AA">
            <w:pPr>
              <w:spacing w:before="0" w:line="240" w:lineRule="auto"/>
              <w:rPr>
                <w:rFonts w:asciiTheme="minorHAnsi" w:hAnsiTheme="minorHAnsi"/>
                <w:color w:val="000000" w:themeColor="text1"/>
                <w:sz w:val="20"/>
                <w:lang w:val="en-US"/>
              </w:rPr>
            </w:pPr>
            <w:r w:rsidRPr="00E04296">
              <w:rPr>
                <w:rFonts w:asciiTheme="minorHAnsi" w:hAnsiTheme="minorHAnsi"/>
                <w:color w:val="000000" w:themeColor="text1"/>
                <w:sz w:val="20"/>
                <w:lang w:val="en-US"/>
              </w:rPr>
              <w:t>profit. The legal form of enterprise may be various (self-employed persons, partnerships, etc.).</w:t>
            </w:r>
          </w:p>
          <w:p w:rsidR="00D569AA" w:rsidRPr="00E04296" w:rsidRDefault="00D569AA" w:rsidP="00D569AA">
            <w:pPr>
              <w:spacing w:before="0" w:line="240" w:lineRule="auto"/>
              <w:rPr>
                <w:rFonts w:asciiTheme="minorHAnsi" w:hAnsiTheme="minorHAnsi"/>
                <w:color w:val="000000" w:themeColor="text1"/>
                <w:sz w:val="20"/>
                <w:lang w:val="en-US"/>
              </w:rPr>
            </w:pPr>
          </w:p>
          <w:p w:rsidR="00007F32" w:rsidRPr="00E04296" w:rsidRDefault="00007F32" w:rsidP="00007F32">
            <w:pPr>
              <w:spacing w:before="0" w:line="240" w:lineRule="auto"/>
              <w:rPr>
                <w:rFonts w:asciiTheme="minorHAnsi" w:hAnsiTheme="minorHAnsi"/>
                <w:color w:val="000000" w:themeColor="text1"/>
                <w:sz w:val="20"/>
                <w:u w:val="single"/>
              </w:rPr>
            </w:pPr>
            <w:r w:rsidRPr="00E04296">
              <w:rPr>
                <w:rFonts w:asciiTheme="minorHAnsi" w:hAnsiTheme="minorHAnsi"/>
                <w:color w:val="000000" w:themeColor="text1"/>
                <w:sz w:val="20"/>
                <w:u w:val="single"/>
              </w:rPr>
              <w:t>Wersja robocza tłumaczenia:</w:t>
            </w:r>
          </w:p>
          <w:p w:rsidR="00007F32" w:rsidRPr="00E04296" w:rsidRDefault="00007F32" w:rsidP="00007F32">
            <w:pPr>
              <w:spacing w:before="0" w:line="240" w:lineRule="auto"/>
              <w:jc w:val="both"/>
              <w:rPr>
                <w:rFonts w:asciiTheme="minorHAnsi" w:hAnsiTheme="minorHAnsi"/>
                <w:sz w:val="20"/>
              </w:rPr>
            </w:pPr>
            <w:r w:rsidRPr="00E04296">
              <w:rPr>
                <w:rFonts w:asciiTheme="minorHAnsi" w:hAnsiTheme="minorHAnsi"/>
                <w:sz w:val="20"/>
              </w:rPr>
              <w:t>Liczba przedsiębiorstw otrzymujących wsparcie w każdej formie z Europejskiego Funduszu Rozwoju Regionalnego (niezależnie czy wsparcie stanowi pomoc publiczną, czy nie).</w:t>
            </w:r>
          </w:p>
          <w:p w:rsidR="00007F32" w:rsidRPr="00E04296" w:rsidRDefault="00007F32" w:rsidP="00007F32">
            <w:pPr>
              <w:spacing w:before="0" w:line="240" w:lineRule="auto"/>
              <w:jc w:val="both"/>
              <w:rPr>
                <w:rFonts w:asciiTheme="minorHAnsi" w:hAnsiTheme="minorHAnsi"/>
                <w:sz w:val="20"/>
              </w:rPr>
            </w:pPr>
          </w:p>
          <w:p w:rsidR="00007F32" w:rsidRPr="00E04296" w:rsidRDefault="00007F32" w:rsidP="00007F32">
            <w:pPr>
              <w:spacing w:before="0" w:line="240" w:lineRule="auto"/>
              <w:jc w:val="both"/>
              <w:rPr>
                <w:rFonts w:asciiTheme="minorHAnsi" w:hAnsiTheme="minorHAnsi"/>
                <w:sz w:val="20"/>
              </w:rPr>
            </w:pPr>
            <w:r w:rsidRPr="00E04296">
              <w:rPr>
                <w:rFonts w:asciiTheme="minorHAnsi" w:hAnsiTheme="minorHAnsi"/>
                <w:i/>
                <w:sz w:val="20"/>
              </w:rPr>
              <w:t>Przedsiębiorstwo</w:t>
            </w:r>
            <w:r w:rsidRPr="00E04296">
              <w:rPr>
                <w:rFonts w:asciiTheme="minorHAnsi" w:hAnsiTheme="minorHAnsi"/>
                <w:sz w:val="20"/>
              </w:rPr>
              <w:t xml:space="preserve"> – podmiot gospodarczy wytwarzający dobra lub usługi dla zaspokojenia potrzeb zgłaszanych przez rynek, w celu osiągnięcia zysku. Przedsiębiorstwa mogą przyjmować różne formy prawne (osoba fizyczna wykonująca działalność gospodarczą, spółki, itp.). Zgodnie z art. 1 Załącznika I do Rozporządzenia Komisji (UE) nr 651/2014 z dnia 17 czerwca 2014 r. uznającego niektóre rodzaje pomocy za zgodne z rynkiem wewnętrznym w zastosowaniu art. 107 i 108 Traktatu.</w:t>
            </w:r>
          </w:p>
          <w:p w:rsidR="00007F32" w:rsidRPr="00E04296" w:rsidRDefault="00007F32" w:rsidP="00007F32">
            <w:pPr>
              <w:spacing w:before="0" w:line="240" w:lineRule="auto"/>
              <w:jc w:val="both"/>
              <w:rPr>
                <w:rFonts w:asciiTheme="minorHAnsi" w:hAnsiTheme="minorHAnsi"/>
                <w:sz w:val="20"/>
              </w:rPr>
            </w:pPr>
          </w:p>
          <w:p w:rsidR="00007F32" w:rsidRPr="00E04296" w:rsidRDefault="00007F32" w:rsidP="00007F32">
            <w:pPr>
              <w:spacing w:before="0" w:line="240" w:lineRule="auto"/>
              <w:jc w:val="both"/>
              <w:rPr>
                <w:rFonts w:asciiTheme="minorHAnsi" w:hAnsiTheme="minorHAnsi"/>
                <w:color w:val="000000" w:themeColor="text1"/>
                <w:sz w:val="20"/>
              </w:rPr>
            </w:pPr>
          </w:p>
          <w:p w:rsidR="00007F32" w:rsidRPr="00E04296" w:rsidRDefault="00007F32" w:rsidP="00007F32">
            <w:pPr>
              <w:spacing w:before="0" w:line="240" w:lineRule="auto"/>
              <w:jc w:val="both"/>
              <w:rPr>
                <w:rFonts w:asciiTheme="minorHAnsi" w:hAnsiTheme="minorHAnsi" w:cs="Arial"/>
                <w:sz w:val="20"/>
              </w:rPr>
            </w:pPr>
            <w:r w:rsidRPr="00E04296">
              <w:rPr>
                <w:rFonts w:asciiTheme="minorHAnsi" w:hAnsiTheme="minorHAnsi"/>
                <w:color w:val="000000" w:themeColor="text1"/>
                <w:sz w:val="20"/>
              </w:rPr>
              <w:t>Wskaźnik „</w:t>
            </w:r>
            <w:r w:rsidRPr="00E04296">
              <w:rPr>
                <w:rFonts w:asciiTheme="minorHAnsi" w:hAnsiTheme="minorHAnsi" w:cs="Arial"/>
                <w:sz w:val="20"/>
              </w:rPr>
              <w:t>Liczba przedsiębiorstw otrzymujących wsparcie” występuje łącznie ze wskaźnikiem „Liczba przedsiębiorstw otrzymujących wsparcie niefinansowe”.</w:t>
            </w:r>
          </w:p>
          <w:p w:rsidR="009D04DE" w:rsidRPr="00E04296" w:rsidRDefault="009D04DE" w:rsidP="007E73B8">
            <w:pPr>
              <w:autoSpaceDE w:val="0"/>
              <w:autoSpaceDN w:val="0"/>
              <w:adjustRightInd w:val="0"/>
              <w:spacing w:before="0" w:line="240" w:lineRule="auto"/>
              <w:rPr>
                <w:rFonts w:asciiTheme="minorHAnsi" w:eastAsiaTheme="minorHAnsi" w:hAnsiTheme="minorHAnsi" w:cs="Arial"/>
                <w:sz w:val="20"/>
                <w:lang w:eastAsia="en-US"/>
              </w:rPr>
            </w:pPr>
          </w:p>
        </w:tc>
        <w:tc>
          <w:tcPr>
            <w:tcW w:w="1049" w:type="pct"/>
          </w:tcPr>
          <w:p w:rsidR="005F0E5F" w:rsidRPr="00E04296" w:rsidRDefault="005F0E5F" w:rsidP="003F1889">
            <w:pPr>
              <w:spacing w:before="0" w:line="240" w:lineRule="auto"/>
              <w:jc w:val="center"/>
              <w:rPr>
                <w:rFonts w:asciiTheme="minorHAnsi" w:hAnsiTheme="minorHAnsi"/>
                <w:sz w:val="20"/>
              </w:rPr>
            </w:pPr>
            <w:r w:rsidRPr="00E04296">
              <w:rPr>
                <w:rFonts w:asciiTheme="minorHAnsi" w:hAnsiTheme="minorHAnsi"/>
                <w:sz w:val="20"/>
              </w:rPr>
              <w:lastRenderedPageBreak/>
              <w:t>RPO</w:t>
            </w:r>
            <w:r w:rsidR="00E93BEA" w:rsidRPr="00E04296">
              <w:rPr>
                <w:rFonts w:asciiTheme="minorHAnsi" w:hAnsiTheme="minorHAnsi"/>
                <w:sz w:val="20"/>
              </w:rPr>
              <w:t xml:space="preserve"> WD 2014-2020</w:t>
            </w:r>
          </w:p>
        </w:tc>
      </w:tr>
      <w:tr w:rsidR="000C57E0" w:rsidRPr="00E04296" w:rsidTr="00852665">
        <w:trPr>
          <w:trHeight w:val="19"/>
          <w:jc w:val="center"/>
        </w:trPr>
        <w:tc>
          <w:tcPr>
            <w:tcW w:w="1189" w:type="pct"/>
            <w:shd w:val="clear" w:color="auto" w:fill="auto"/>
          </w:tcPr>
          <w:p w:rsidR="000C57E0" w:rsidRPr="00E04296" w:rsidRDefault="00A214C1" w:rsidP="00EE4C8C">
            <w:pPr>
              <w:pStyle w:val="Default"/>
              <w:rPr>
                <w:rFonts w:asciiTheme="minorHAnsi" w:hAnsiTheme="minorHAnsi"/>
              </w:rPr>
            </w:pPr>
            <w:r w:rsidRPr="00E04296">
              <w:rPr>
                <w:rFonts w:asciiTheme="minorHAnsi" w:hAnsiTheme="minorHAnsi" w:cs="Arial"/>
              </w:rPr>
              <w:t>Liczba przedsiębiorstw otrzymujących wsparcie niefinansowe</w:t>
            </w:r>
          </w:p>
        </w:tc>
        <w:tc>
          <w:tcPr>
            <w:tcW w:w="701" w:type="pct"/>
          </w:tcPr>
          <w:p w:rsidR="000C57E0" w:rsidRPr="00E04296" w:rsidRDefault="00F60155" w:rsidP="003F1889">
            <w:pPr>
              <w:spacing w:before="0" w:line="240" w:lineRule="auto"/>
              <w:jc w:val="center"/>
              <w:rPr>
                <w:rFonts w:asciiTheme="minorHAnsi" w:hAnsiTheme="minorHAnsi"/>
                <w:sz w:val="20"/>
              </w:rPr>
            </w:pPr>
            <w:r w:rsidRPr="00E04296">
              <w:rPr>
                <w:rFonts w:asciiTheme="minorHAnsi" w:eastAsiaTheme="minorHAnsi" w:hAnsiTheme="minorHAnsi"/>
                <w:sz w:val="20"/>
                <w:lang w:eastAsia="en-US"/>
              </w:rPr>
              <w:t>przedsiębiorstwa</w:t>
            </w:r>
          </w:p>
        </w:tc>
        <w:tc>
          <w:tcPr>
            <w:tcW w:w="2061" w:type="pct"/>
            <w:shd w:val="clear" w:color="auto" w:fill="auto"/>
          </w:tcPr>
          <w:p w:rsidR="007E73B8" w:rsidRPr="00E04296" w:rsidRDefault="007E73B8" w:rsidP="007E73B8">
            <w:pPr>
              <w:autoSpaceDE w:val="0"/>
              <w:autoSpaceDN w:val="0"/>
              <w:adjustRightInd w:val="0"/>
              <w:spacing w:before="0" w:line="240" w:lineRule="auto"/>
              <w:rPr>
                <w:rFonts w:asciiTheme="minorHAnsi" w:eastAsiaTheme="minorHAnsi" w:hAnsiTheme="minorHAnsi" w:cs="Arial"/>
                <w:sz w:val="20"/>
                <w:lang w:val="en-US" w:eastAsia="en-US"/>
              </w:rPr>
            </w:pPr>
            <w:r w:rsidRPr="00E04296">
              <w:rPr>
                <w:rFonts w:asciiTheme="minorHAnsi" w:eastAsiaTheme="minorHAnsi" w:hAnsiTheme="minorHAnsi" w:cs="Arial"/>
                <w:sz w:val="20"/>
                <w:lang w:val="en-US" w:eastAsia="en-US"/>
              </w:rPr>
              <w:t xml:space="preserve">Number of enterprises receiving support that does not involve direct financial transfer </w:t>
            </w:r>
          </w:p>
          <w:p w:rsidR="007E73B8" w:rsidRPr="00E04296" w:rsidRDefault="007E73B8" w:rsidP="007E73B8">
            <w:pPr>
              <w:autoSpaceDE w:val="0"/>
              <w:autoSpaceDN w:val="0"/>
              <w:adjustRightInd w:val="0"/>
              <w:spacing w:before="0" w:line="240" w:lineRule="auto"/>
              <w:rPr>
                <w:rFonts w:asciiTheme="minorHAnsi" w:eastAsiaTheme="minorHAnsi" w:hAnsiTheme="minorHAnsi" w:cs="Arial"/>
                <w:sz w:val="20"/>
                <w:lang w:val="en-US" w:eastAsia="en-US"/>
              </w:rPr>
            </w:pPr>
            <w:r w:rsidRPr="00E04296">
              <w:rPr>
                <w:rFonts w:asciiTheme="minorHAnsi" w:eastAsiaTheme="minorHAnsi" w:hAnsiTheme="minorHAnsi" w:cs="Arial"/>
                <w:sz w:val="20"/>
                <w:lang w:val="en-US" w:eastAsia="en-US"/>
              </w:rPr>
              <w:t xml:space="preserve">(guidance, consultancy, enterprise incubators, etc.). Venture capital is considered as financial </w:t>
            </w:r>
          </w:p>
          <w:p w:rsidR="007E73B8" w:rsidRPr="00E04296" w:rsidRDefault="007E73B8" w:rsidP="007E73B8">
            <w:pPr>
              <w:autoSpaceDE w:val="0"/>
              <w:autoSpaceDN w:val="0"/>
              <w:adjustRightInd w:val="0"/>
              <w:spacing w:before="0" w:line="240" w:lineRule="auto"/>
              <w:rPr>
                <w:rFonts w:asciiTheme="minorHAnsi" w:eastAsiaTheme="minorHAnsi" w:hAnsiTheme="minorHAnsi" w:cs="Arial"/>
                <w:sz w:val="20"/>
                <w:lang w:val="en-US" w:eastAsia="en-US"/>
              </w:rPr>
            </w:pPr>
            <w:r w:rsidRPr="00E04296">
              <w:rPr>
                <w:rFonts w:asciiTheme="minorHAnsi" w:eastAsiaTheme="minorHAnsi" w:hAnsiTheme="minorHAnsi" w:cs="Arial"/>
                <w:sz w:val="20"/>
                <w:lang w:val="en-US" w:eastAsia="en-US"/>
              </w:rPr>
              <w:t xml:space="preserve">support. </w:t>
            </w:r>
          </w:p>
          <w:p w:rsidR="000C57E0" w:rsidRPr="00E04296" w:rsidRDefault="007E73B8" w:rsidP="007E73B8">
            <w:pPr>
              <w:autoSpaceDE w:val="0"/>
              <w:autoSpaceDN w:val="0"/>
              <w:adjustRightInd w:val="0"/>
              <w:spacing w:before="0" w:line="240" w:lineRule="auto"/>
              <w:rPr>
                <w:rFonts w:asciiTheme="minorHAnsi" w:eastAsiaTheme="minorHAnsi" w:hAnsiTheme="minorHAnsi" w:cs="Arial"/>
                <w:sz w:val="20"/>
                <w:lang w:val="en-US" w:eastAsia="en-US"/>
              </w:rPr>
            </w:pPr>
            <w:r w:rsidRPr="00E04296">
              <w:rPr>
                <w:rFonts w:asciiTheme="minorHAnsi" w:eastAsiaTheme="minorHAnsi" w:hAnsiTheme="minorHAnsi" w:cs="Arial"/>
                <w:sz w:val="20"/>
                <w:lang w:val="en-US" w:eastAsia="en-US"/>
              </w:rPr>
              <w:t>Subset of 'Number of enterprises receiving support.</w:t>
            </w:r>
          </w:p>
          <w:p w:rsidR="009D04DE" w:rsidRPr="00E04296" w:rsidRDefault="009D04DE" w:rsidP="007E73B8">
            <w:pPr>
              <w:autoSpaceDE w:val="0"/>
              <w:autoSpaceDN w:val="0"/>
              <w:adjustRightInd w:val="0"/>
              <w:spacing w:before="0" w:line="240" w:lineRule="auto"/>
              <w:rPr>
                <w:rFonts w:asciiTheme="minorHAnsi" w:eastAsiaTheme="minorHAnsi" w:hAnsiTheme="minorHAnsi" w:cs="Arial"/>
                <w:sz w:val="20"/>
                <w:lang w:val="en-US" w:eastAsia="en-US"/>
              </w:rPr>
            </w:pPr>
          </w:p>
          <w:p w:rsidR="00007F32" w:rsidRPr="00E04296" w:rsidRDefault="00007F32" w:rsidP="00007F32">
            <w:pPr>
              <w:spacing w:before="0" w:line="240" w:lineRule="auto"/>
              <w:rPr>
                <w:rFonts w:asciiTheme="minorHAnsi" w:eastAsiaTheme="minorHAnsi" w:hAnsiTheme="minorHAnsi"/>
                <w:sz w:val="20"/>
                <w:u w:val="single"/>
                <w:lang w:eastAsia="en-US"/>
              </w:rPr>
            </w:pPr>
            <w:r w:rsidRPr="00E04296">
              <w:rPr>
                <w:rFonts w:asciiTheme="minorHAnsi" w:eastAsiaTheme="minorHAnsi" w:hAnsiTheme="minorHAnsi"/>
                <w:sz w:val="20"/>
                <w:u w:val="single"/>
                <w:lang w:eastAsia="en-US"/>
              </w:rPr>
              <w:t>Wersja robocza tłumaczenia:</w:t>
            </w:r>
          </w:p>
          <w:p w:rsidR="00007F32" w:rsidRPr="00E04296" w:rsidRDefault="00007F32" w:rsidP="00007F32">
            <w:pPr>
              <w:spacing w:before="0" w:line="240" w:lineRule="auto"/>
              <w:jc w:val="both"/>
              <w:rPr>
                <w:rFonts w:asciiTheme="minorHAnsi" w:eastAsiaTheme="minorHAnsi" w:hAnsiTheme="minorHAnsi"/>
                <w:sz w:val="20"/>
                <w:lang w:eastAsia="en-US"/>
              </w:rPr>
            </w:pPr>
            <w:r w:rsidRPr="00E04296">
              <w:rPr>
                <w:rFonts w:asciiTheme="minorHAnsi" w:eastAsiaTheme="minorHAnsi" w:hAnsiTheme="minorHAnsi"/>
                <w:sz w:val="20"/>
                <w:lang w:eastAsia="en-US"/>
              </w:rPr>
              <w:t>Wskaźnik obejmuje przedsiębiorstwa korzystające ze wsparcia, które nie wymaga bezpośredniego transferu finansowego (doradztwo, konsultacje,  przedsiębiorstwa inkubowane).</w:t>
            </w:r>
          </w:p>
          <w:p w:rsidR="00007F32" w:rsidRPr="00E04296" w:rsidRDefault="00007F32" w:rsidP="00007F32">
            <w:pPr>
              <w:spacing w:before="0" w:line="240" w:lineRule="auto"/>
              <w:jc w:val="both"/>
              <w:rPr>
                <w:rFonts w:asciiTheme="minorHAnsi" w:eastAsiaTheme="minorHAnsi" w:hAnsiTheme="minorHAnsi"/>
                <w:sz w:val="20"/>
                <w:lang w:eastAsia="en-US"/>
              </w:rPr>
            </w:pPr>
            <w:r w:rsidRPr="00E04296">
              <w:rPr>
                <w:rFonts w:asciiTheme="minorHAnsi" w:eastAsiaTheme="minorHAnsi" w:hAnsiTheme="minorHAnsi"/>
                <w:sz w:val="20"/>
                <w:lang w:eastAsia="en-US"/>
              </w:rPr>
              <w:t xml:space="preserve">Venture </w:t>
            </w:r>
            <w:proofErr w:type="spellStart"/>
            <w:r w:rsidRPr="00E04296">
              <w:rPr>
                <w:rFonts w:asciiTheme="minorHAnsi" w:eastAsiaTheme="minorHAnsi" w:hAnsiTheme="minorHAnsi"/>
                <w:sz w:val="20"/>
                <w:lang w:eastAsia="en-US"/>
              </w:rPr>
              <w:t>capital</w:t>
            </w:r>
            <w:proofErr w:type="spellEnd"/>
            <w:r w:rsidRPr="00E04296">
              <w:rPr>
                <w:rFonts w:asciiTheme="minorHAnsi" w:eastAsiaTheme="minorHAnsi" w:hAnsiTheme="minorHAnsi"/>
                <w:sz w:val="20"/>
                <w:lang w:eastAsia="en-US"/>
              </w:rPr>
              <w:t xml:space="preserve"> jest uważany za finansowe wsparcie.</w:t>
            </w:r>
          </w:p>
          <w:p w:rsidR="00007F32" w:rsidRPr="00E04296" w:rsidRDefault="00007F32" w:rsidP="00007F32">
            <w:pPr>
              <w:spacing w:before="0" w:line="240" w:lineRule="auto"/>
              <w:jc w:val="both"/>
              <w:rPr>
                <w:rFonts w:asciiTheme="minorHAnsi" w:eastAsiaTheme="minorHAnsi" w:hAnsiTheme="minorHAnsi"/>
                <w:sz w:val="20"/>
                <w:lang w:eastAsia="en-US"/>
              </w:rPr>
            </w:pPr>
          </w:p>
          <w:p w:rsidR="00007F32" w:rsidRPr="00E04296" w:rsidRDefault="00007F32" w:rsidP="00007F32">
            <w:pPr>
              <w:spacing w:before="0" w:line="240" w:lineRule="auto"/>
              <w:jc w:val="both"/>
              <w:rPr>
                <w:rFonts w:asciiTheme="minorHAnsi" w:hAnsiTheme="minorHAnsi"/>
                <w:sz w:val="20"/>
              </w:rPr>
            </w:pPr>
            <w:r w:rsidRPr="00E04296">
              <w:rPr>
                <w:rFonts w:asciiTheme="minorHAnsi" w:hAnsiTheme="minorHAnsi"/>
                <w:i/>
                <w:sz w:val="20"/>
              </w:rPr>
              <w:t>Przedsiębiorstwo</w:t>
            </w:r>
            <w:r w:rsidRPr="00E04296">
              <w:rPr>
                <w:rFonts w:asciiTheme="minorHAnsi" w:hAnsiTheme="minorHAnsi"/>
                <w:sz w:val="20"/>
              </w:rPr>
              <w:t xml:space="preserve"> – podmiot gospodarczy </w:t>
            </w:r>
            <w:r w:rsidRPr="00E04296">
              <w:rPr>
                <w:rFonts w:asciiTheme="minorHAnsi" w:hAnsiTheme="minorHAnsi"/>
                <w:sz w:val="20"/>
              </w:rPr>
              <w:lastRenderedPageBreak/>
              <w:t>wytwarzający dobra lub usługi dla zaspokojenia potrzeb zgłaszanych przez rynek, w celu osiągnięcia zysku. Przedsiębiorstwa mogą przyjmować różne formy prawne (osoba fizyczna wykonująca działalność gospodarczą, spółki, itp.). Zgodnie z art. 1 Załącznika I do Rozporządzenia Komisji (UE) nr 651/2014 z dnia 17 czerwca 2014 r. uznającego niektóre rodzaje pomocy za zgodne z rynkiem wewnętrznym w zastosowaniu art. 107 i 108 Traktatu.</w:t>
            </w:r>
          </w:p>
          <w:p w:rsidR="00007F32" w:rsidRPr="00E04296" w:rsidRDefault="00007F32" w:rsidP="00007F32">
            <w:pPr>
              <w:spacing w:before="0" w:line="240" w:lineRule="auto"/>
              <w:jc w:val="both"/>
              <w:rPr>
                <w:rFonts w:asciiTheme="minorHAnsi" w:eastAsiaTheme="minorHAnsi" w:hAnsiTheme="minorHAnsi"/>
                <w:sz w:val="20"/>
                <w:lang w:eastAsia="en-US"/>
              </w:rPr>
            </w:pPr>
          </w:p>
          <w:p w:rsidR="00007F32" w:rsidRPr="00E04296" w:rsidRDefault="00007F32" w:rsidP="00007F32">
            <w:pPr>
              <w:spacing w:before="0" w:line="240" w:lineRule="auto"/>
              <w:rPr>
                <w:rFonts w:asciiTheme="minorHAnsi" w:eastAsiaTheme="minorHAnsi" w:hAnsiTheme="minorHAnsi"/>
                <w:sz w:val="20"/>
                <w:lang w:eastAsia="en-US"/>
              </w:rPr>
            </w:pPr>
            <w:r w:rsidRPr="00E04296">
              <w:rPr>
                <w:rFonts w:asciiTheme="minorHAnsi" w:eastAsiaTheme="minorHAnsi" w:hAnsiTheme="minorHAnsi"/>
                <w:sz w:val="20"/>
                <w:lang w:eastAsia="en-US"/>
              </w:rPr>
              <w:t>Sposób pomiaru:</w:t>
            </w:r>
          </w:p>
          <w:p w:rsidR="00007F32" w:rsidRPr="00E04296" w:rsidRDefault="00007F32" w:rsidP="00007F32">
            <w:pPr>
              <w:autoSpaceDE w:val="0"/>
              <w:autoSpaceDN w:val="0"/>
              <w:adjustRightInd w:val="0"/>
              <w:spacing w:before="0" w:line="240" w:lineRule="auto"/>
              <w:rPr>
                <w:rFonts w:asciiTheme="minorHAnsi" w:hAnsiTheme="minorHAnsi" w:cs="Arial"/>
                <w:sz w:val="20"/>
              </w:rPr>
            </w:pPr>
            <w:r w:rsidRPr="00E04296">
              <w:rPr>
                <w:rFonts w:asciiTheme="minorHAnsi" w:hAnsiTheme="minorHAnsi"/>
                <w:color w:val="000000" w:themeColor="text1"/>
                <w:sz w:val="20"/>
              </w:rPr>
              <w:t>Wskaźnik „</w:t>
            </w:r>
            <w:r w:rsidRPr="00E04296">
              <w:rPr>
                <w:rFonts w:asciiTheme="minorHAnsi" w:hAnsiTheme="minorHAnsi" w:cs="Arial"/>
                <w:sz w:val="20"/>
              </w:rPr>
              <w:t>Liczba przedsiębiorstw otrzymujących wsparcie niefinansowe” występuje łącznie ze wskaźnikiem „Liczba przedsiębiorstw otrzymujących wsparcie”.</w:t>
            </w:r>
          </w:p>
          <w:p w:rsidR="00007F32" w:rsidRPr="00E04296" w:rsidRDefault="00007F32" w:rsidP="00007F32">
            <w:pPr>
              <w:autoSpaceDE w:val="0"/>
              <w:autoSpaceDN w:val="0"/>
              <w:adjustRightInd w:val="0"/>
              <w:spacing w:before="0" w:line="240" w:lineRule="auto"/>
              <w:rPr>
                <w:rFonts w:asciiTheme="minorHAnsi" w:hAnsiTheme="minorHAnsi" w:cs="Arial"/>
                <w:sz w:val="20"/>
              </w:rPr>
            </w:pPr>
          </w:p>
          <w:p w:rsidR="00007F32" w:rsidRPr="00E04296" w:rsidRDefault="00007F32" w:rsidP="00007F32">
            <w:pPr>
              <w:autoSpaceDE w:val="0"/>
              <w:autoSpaceDN w:val="0"/>
              <w:adjustRightInd w:val="0"/>
              <w:spacing w:before="0" w:line="240" w:lineRule="auto"/>
              <w:jc w:val="both"/>
              <w:rPr>
                <w:rFonts w:asciiTheme="minorHAnsi" w:eastAsiaTheme="minorHAnsi" w:hAnsiTheme="minorHAnsi" w:cs="Arial"/>
                <w:sz w:val="20"/>
                <w:lang w:eastAsia="en-US"/>
              </w:rPr>
            </w:pPr>
            <w:r w:rsidRPr="00E04296">
              <w:rPr>
                <w:rFonts w:asciiTheme="minorHAnsi" w:eastAsiaTheme="minorHAnsi" w:hAnsiTheme="minorHAnsi" w:cs="Arial"/>
                <w:sz w:val="20"/>
                <w:lang w:eastAsia="en-US"/>
              </w:rPr>
              <w:t xml:space="preserve">W przypadku schematu 1.3 A, wykazywana powinna być liczba przedsiębiorstw </w:t>
            </w:r>
            <w:r w:rsidR="00AD7CE3" w:rsidRPr="00E04296">
              <w:rPr>
                <w:rFonts w:asciiTheme="minorHAnsi" w:eastAsiaTheme="minorHAnsi" w:hAnsiTheme="minorHAnsi" w:cs="Arial"/>
                <w:b/>
                <w:sz w:val="20"/>
                <w:lang w:eastAsia="en-US"/>
              </w:rPr>
              <w:t>zlokalizowanych</w:t>
            </w:r>
            <w:r w:rsidR="00930B84" w:rsidRPr="00E04296">
              <w:rPr>
                <w:rFonts w:asciiTheme="minorHAnsi" w:eastAsiaTheme="minorHAnsi" w:hAnsiTheme="minorHAnsi" w:cs="Arial"/>
                <w:b/>
                <w:sz w:val="20"/>
                <w:lang w:eastAsia="en-US"/>
              </w:rPr>
              <w:t xml:space="preserve"> </w:t>
            </w:r>
            <w:r w:rsidRPr="00E04296">
              <w:rPr>
                <w:rFonts w:asciiTheme="minorHAnsi" w:eastAsiaTheme="minorHAnsi" w:hAnsiTheme="minorHAnsi" w:cs="Arial"/>
                <w:b/>
                <w:sz w:val="20"/>
                <w:lang w:eastAsia="en-US"/>
              </w:rPr>
              <w:t>na terenach inwestycyjnych</w:t>
            </w:r>
            <w:r w:rsidR="00930B84" w:rsidRPr="00E04296">
              <w:rPr>
                <w:rFonts w:asciiTheme="minorHAnsi" w:eastAsiaTheme="minorHAnsi" w:hAnsiTheme="minorHAnsi" w:cs="Arial"/>
                <w:b/>
                <w:sz w:val="20"/>
                <w:lang w:eastAsia="en-US"/>
              </w:rPr>
              <w:t>*</w:t>
            </w:r>
            <w:r w:rsidRPr="00E04296">
              <w:rPr>
                <w:rFonts w:asciiTheme="minorHAnsi" w:eastAsiaTheme="minorHAnsi" w:hAnsiTheme="minorHAnsi" w:cs="Arial"/>
                <w:sz w:val="20"/>
                <w:lang w:eastAsia="en-US"/>
              </w:rPr>
              <w:t>.</w:t>
            </w:r>
          </w:p>
          <w:p w:rsidR="00007F32" w:rsidRPr="00E04296" w:rsidRDefault="00007F32" w:rsidP="00007F32">
            <w:pPr>
              <w:autoSpaceDE w:val="0"/>
              <w:autoSpaceDN w:val="0"/>
              <w:adjustRightInd w:val="0"/>
              <w:spacing w:before="0" w:line="240" w:lineRule="auto"/>
              <w:jc w:val="both"/>
              <w:rPr>
                <w:rFonts w:asciiTheme="minorHAnsi" w:eastAsiaTheme="minorHAnsi" w:hAnsiTheme="minorHAnsi" w:cs="Arial"/>
                <w:sz w:val="20"/>
                <w:lang w:eastAsia="en-US"/>
              </w:rPr>
            </w:pPr>
          </w:p>
          <w:p w:rsidR="00007F32" w:rsidRPr="00E04296" w:rsidRDefault="00007F32" w:rsidP="00007F32">
            <w:pPr>
              <w:autoSpaceDE w:val="0"/>
              <w:autoSpaceDN w:val="0"/>
              <w:adjustRightInd w:val="0"/>
              <w:spacing w:before="0" w:line="240" w:lineRule="auto"/>
              <w:jc w:val="both"/>
              <w:rPr>
                <w:rFonts w:asciiTheme="minorHAnsi" w:eastAsiaTheme="minorHAnsi" w:hAnsiTheme="minorHAnsi" w:cs="Arial"/>
                <w:sz w:val="20"/>
                <w:lang w:eastAsia="en-US"/>
              </w:rPr>
            </w:pPr>
            <w:r w:rsidRPr="00E04296">
              <w:rPr>
                <w:rFonts w:asciiTheme="minorHAnsi" w:eastAsiaTheme="minorHAnsi" w:hAnsiTheme="minorHAnsi" w:cs="Arial"/>
                <w:sz w:val="20"/>
                <w:lang w:eastAsia="en-US"/>
              </w:rPr>
              <w:t xml:space="preserve">W przypadku schematu 1.3 B, wykazywana powinna być liczba przedsiębiorstw </w:t>
            </w:r>
            <w:r w:rsidRPr="00E04296">
              <w:rPr>
                <w:rFonts w:asciiTheme="minorHAnsi" w:eastAsiaTheme="minorHAnsi" w:hAnsiTheme="minorHAnsi" w:cs="Arial"/>
                <w:b/>
                <w:sz w:val="20"/>
                <w:lang w:eastAsia="en-US"/>
              </w:rPr>
              <w:t>zlokalizowanych we wspartej infrastrukturze</w:t>
            </w:r>
            <w:r w:rsidRPr="00E04296">
              <w:rPr>
                <w:rFonts w:asciiTheme="minorHAnsi" w:eastAsiaTheme="minorHAnsi" w:hAnsiTheme="minorHAnsi" w:cs="Arial"/>
                <w:sz w:val="20"/>
                <w:lang w:eastAsia="en-US"/>
              </w:rPr>
              <w:t>.</w:t>
            </w:r>
          </w:p>
          <w:p w:rsidR="00AD7CE3" w:rsidRPr="00E04296"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p>
          <w:p w:rsidR="00AD7CE3" w:rsidRPr="00E04296"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r w:rsidRPr="00E04296">
              <w:rPr>
                <w:rFonts w:asciiTheme="minorHAnsi" w:eastAsiaTheme="minorHAnsi" w:hAnsiTheme="minorHAnsi" w:cs="Arial"/>
                <w:sz w:val="20"/>
                <w:lang w:eastAsia="en-US"/>
              </w:rPr>
              <w:t xml:space="preserve"> *za przedsiębiorstwo zlokalizowane uznawane jest takie przedsiębiorstwo które dysponuje stosownymi dokumentami  (np. umowami zakupu/dzierżawy/najmu, wypisami z ksiąg wieczystych) potwierdzającymi swoją lokalizację</w:t>
            </w:r>
            <w:r w:rsidRPr="00E04296">
              <w:rPr>
                <w:rFonts w:asciiTheme="minorHAnsi" w:eastAsiaTheme="minorHAnsi" w:hAnsiTheme="minorHAnsi" w:cs="Arial"/>
                <w:b/>
                <w:sz w:val="20"/>
                <w:lang w:eastAsia="en-US"/>
              </w:rPr>
              <w:t>.</w:t>
            </w:r>
          </w:p>
          <w:p w:rsidR="00AD7CE3" w:rsidRPr="00E04296"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p>
          <w:p w:rsidR="00AD7CE3" w:rsidRPr="00E04296"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r w:rsidRPr="00E04296">
              <w:rPr>
                <w:rFonts w:asciiTheme="minorHAnsi" w:eastAsiaTheme="minorHAnsi" w:hAnsiTheme="minorHAnsi" w:cs="Arial"/>
                <w:sz w:val="20"/>
                <w:lang w:eastAsia="en-US"/>
              </w:rPr>
              <w:t xml:space="preserve"> </w:t>
            </w:r>
          </w:p>
          <w:p w:rsidR="00AD7CE3" w:rsidRPr="00E04296" w:rsidRDefault="00AD7CE3" w:rsidP="00AD7CE3">
            <w:pPr>
              <w:spacing w:before="0" w:line="240" w:lineRule="auto"/>
              <w:rPr>
                <w:rFonts w:asciiTheme="minorHAnsi" w:hAnsiTheme="minorHAnsi" w:cs="Arial"/>
                <w:b/>
                <w:sz w:val="20"/>
              </w:rPr>
            </w:pPr>
            <w:r w:rsidRPr="00E04296">
              <w:rPr>
                <w:rFonts w:asciiTheme="minorHAnsi" w:hAnsiTheme="minorHAnsi" w:cs="Arial"/>
                <w:b/>
                <w:sz w:val="20"/>
              </w:rPr>
              <w:t>Wartość docelowa wskaźnika musi być większa niż „0”</w:t>
            </w:r>
          </w:p>
          <w:p w:rsidR="00AD7CE3" w:rsidRPr="00E04296"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p>
        </w:tc>
        <w:tc>
          <w:tcPr>
            <w:tcW w:w="1049" w:type="pct"/>
          </w:tcPr>
          <w:p w:rsidR="000C57E0" w:rsidRPr="00E04296" w:rsidRDefault="00A214C1" w:rsidP="003F1889">
            <w:pPr>
              <w:spacing w:before="0" w:line="240" w:lineRule="auto"/>
              <w:jc w:val="center"/>
              <w:rPr>
                <w:rFonts w:asciiTheme="minorHAnsi" w:hAnsiTheme="minorHAnsi"/>
                <w:sz w:val="20"/>
              </w:rPr>
            </w:pPr>
            <w:r w:rsidRPr="00E04296">
              <w:rPr>
                <w:rFonts w:asciiTheme="minorHAnsi" w:hAnsiTheme="minorHAnsi"/>
                <w:sz w:val="20"/>
              </w:rPr>
              <w:lastRenderedPageBreak/>
              <w:t>RPO WD 2014-2020</w:t>
            </w:r>
          </w:p>
        </w:tc>
      </w:tr>
      <w:tr w:rsidR="00DC65CA" w:rsidRPr="00E04296"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DC65CA" w:rsidRPr="00E04296" w:rsidRDefault="00DC65CA" w:rsidP="00852665">
            <w:pPr>
              <w:pStyle w:val="Default"/>
              <w:rPr>
                <w:rFonts w:asciiTheme="minorHAnsi" w:hAnsiTheme="minorHAnsi" w:cs="ArialNarrow"/>
              </w:rPr>
            </w:pPr>
            <w:r w:rsidRPr="00E04296">
              <w:rPr>
                <w:rFonts w:asciiTheme="minorHAnsi" w:hAnsiTheme="minorHAnsi" w:cs="ArialNarrow"/>
              </w:rPr>
              <w:lastRenderedPageBreak/>
              <w:t>Wzrost zatrudnienia we wspieranych przedsiębiorstwach 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C65CA" w:rsidRPr="00E04296" w:rsidRDefault="00DC65CA" w:rsidP="003F1889">
            <w:pPr>
              <w:spacing w:before="0" w:line="240" w:lineRule="auto"/>
              <w:jc w:val="center"/>
              <w:rPr>
                <w:rFonts w:asciiTheme="minorHAnsi" w:hAnsiTheme="minorHAnsi" w:cs="ArialNarrow"/>
                <w:sz w:val="20"/>
              </w:rPr>
            </w:pPr>
            <w:r w:rsidRPr="00E04296">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DC65CA" w:rsidRPr="00E04296" w:rsidRDefault="00DC65CA" w:rsidP="00DC65CA">
            <w:pPr>
              <w:autoSpaceDE w:val="0"/>
              <w:autoSpaceDN w:val="0"/>
              <w:adjustRightInd w:val="0"/>
              <w:spacing w:before="0" w:line="240" w:lineRule="auto"/>
              <w:rPr>
                <w:rFonts w:asciiTheme="minorHAnsi" w:hAnsiTheme="minorHAnsi"/>
                <w:sz w:val="20"/>
              </w:rPr>
            </w:pPr>
            <w:r w:rsidRPr="00E04296">
              <w:rPr>
                <w:rFonts w:asciiTheme="minorHAnsi" w:hAnsiTheme="minorHAnsi"/>
                <w:sz w:val="20"/>
              </w:rPr>
              <w:t xml:space="preserve">Tłumaczenie robocze: Nowe miejsca pracy brutto we wspartych  przedsiębiorstwach wyrażone w ekwiwalencie pełnego czasu pracy (EPC). </w:t>
            </w:r>
          </w:p>
          <w:p w:rsidR="00DC65CA" w:rsidRPr="00E04296" w:rsidRDefault="00DC65CA" w:rsidP="00DC65CA">
            <w:pPr>
              <w:autoSpaceDE w:val="0"/>
              <w:autoSpaceDN w:val="0"/>
              <w:adjustRightInd w:val="0"/>
              <w:spacing w:before="0" w:line="240" w:lineRule="auto"/>
              <w:rPr>
                <w:rFonts w:asciiTheme="minorHAnsi" w:hAnsiTheme="minorHAnsi"/>
                <w:sz w:val="20"/>
              </w:rPr>
            </w:pPr>
            <w:r w:rsidRPr="00E04296">
              <w:rPr>
                <w:rFonts w:asciiTheme="minorHAnsi" w:hAnsiTheme="minorHAnsi"/>
                <w:sz w:val="20"/>
              </w:rPr>
              <w:t xml:space="preserve">Wskaźnik ukazuje zmianę "przed-po" </w:t>
            </w:r>
            <w:r w:rsidRPr="00E04296">
              <w:rPr>
                <w:rFonts w:asciiTheme="minorHAnsi" w:hAnsiTheme="minorHAnsi"/>
                <w:sz w:val="20"/>
              </w:rPr>
              <w:br/>
              <w:t xml:space="preserve">i obejmuje część wzrostu zatrudnienia </w:t>
            </w:r>
            <w:r w:rsidRPr="00E04296">
              <w:rPr>
                <w:rFonts w:asciiTheme="minorHAnsi" w:hAnsiTheme="minorHAnsi"/>
                <w:sz w:val="20"/>
              </w:rPr>
              <w:br/>
              <w:t xml:space="preserve">w przedsiębiorstwie będącego bezpośrednim skutkiem zakończenia realizacji projektu (nie są wliczani pracownicy zatrudnieni do realizacji projektu). </w:t>
            </w:r>
          </w:p>
          <w:p w:rsidR="00DC65CA" w:rsidRPr="00E04296" w:rsidRDefault="00DC65CA" w:rsidP="00DC65CA">
            <w:pPr>
              <w:autoSpaceDE w:val="0"/>
              <w:autoSpaceDN w:val="0"/>
              <w:adjustRightInd w:val="0"/>
              <w:spacing w:before="0" w:line="240" w:lineRule="auto"/>
              <w:rPr>
                <w:rFonts w:asciiTheme="minorHAnsi" w:hAnsiTheme="minorHAnsi"/>
                <w:sz w:val="20"/>
              </w:rPr>
            </w:pPr>
            <w:r w:rsidRPr="00E04296">
              <w:rPr>
                <w:rFonts w:asciiTheme="minorHAnsi" w:hAnsiTheme="minorHAnsi"/>
                <w:sz w:val="20"/>
              </w:rPr>
              <w:t>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w:t>
            </w:r>
          </w:p>
          <w:p w:rsidR="00DC65CA" w:rsidRPr="00E04296" w:rsidRDefault="00DC65CA" w:rsidP="00DC65CA">
            <w:pPr>
              <w:autoSpaceDE w:val="0"/>
              <w:autoSpaceDN w:val="0"/>
              <w:adjustRightInd w:val="0"/>
              <w:spacing w:before="0" w:line="240" w:lineRule="auto"/>
              <w:rPr>
                <w:rFonts w:asciiTheme="minorHAnsi" w:hAnsiTheme="minorHAnsi"/>
                <w:sz w:val="20"/>
              </w:rPr>
            </w:pPr>
            <w:r w:rsidRPr="00E04296">
              <w:rPr>
                <w:rFonts w:asciiTheme="minorHAnsi" w:hAnsiTheme="minorHAnsi"/>
                <w:sz w:val="20"/>
              </w:rPr>
              <w:t xml:space="preserve">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t>
            </w:r>
            <w:r w:rsidRPr="00E04296">
              <w:rPr>
                <w:rFonts w:asciiTheme="minorHAnsi" w:hAnsiTheme="minorHAnsi"/>
                <w:sz w:val="20"/>
              </w:rPr>
              <w:br/>
              <w:t>w ramach projektu.</w:t>
            </w:r>
          </w:p>
          <w:p w:rsidR="00DC65CA" w:rsidRPr="00E04296" w:rsidRDefault="00DC65CA" w:rsidP="00DC65CA">
            <w:pPr>
              <w:autoSpaceDE w:val="0"/>
              <w:autoSpaceDN w:val="0"/>
              <w:adjustRightInd w:val="0"/>
              <w:spacing w:before="0" w:line="240" w:lineRule="auto"/>
              <w:rPr>
                <w:rFonts w:asciiTheme="minorHAnsi" w:hAnsiTheme="minorHAnsi"/>
                <w:sz w:val="20"/>
                <w:lang w:val="en-US"/>
              </w:rPr>
            </w:pPr>
            <w:r w:rsidRPr="00E04296">
              <w:rPr>
                <w:rFonts w:asciiTheme="minorHAnsi" w:hAnsiTheme="minorHAnsi"/>
                <w:sz w:val="20"/>
                <w:lang w:val="en-US"/>
              </w:rPr>
              <w:t xml:space="preserve">Gross new working positions in supported enterprises in full time equivalents (FTE). </w:t>
            </w:r>
          </w:p>
          <w:p w:rsidR="00DC65CA" w:rsidRPr="00E04296" w:rsidRDefault="00DC65CA" w:rsidP="00DC65CA">
            <w:pPr>
              <w:autoSpaceDE w:val="0"/>
              <w:autoSpaceDN w:val="0"/>
              <w:adjustRightInd w:val="0"/>
              <w:spacing w:before="0" w:line="240" w:lineRule="auto"/>
              <w:rPr>
                <w:rFonts w:asciiTheme="minorHAnsi" w:hAnsiTheme="minorHAnsi"/>
                <w:sz w:val="20"/>
                <w:lang w:val="en-US"/>
              </w:rPr>
            </w:pPr>
            <w:r w:rsidRPr="00E04296">
              <w:rPr>
                <w:rFonts w:asciiTheme="minorHAnsi" w:hAnsiTheme="minorHAnsi"/>
                <w:sz w:val="20"/>
                <w:lang w:val="en-US"/>
              </w:rPr>
              <w:t>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w:t>
            </w:r>
          </w:p>
          <w:p w:rsidR="00DC65CA" w:rsidRPr="00E04296" w:rsidRDefault="00DC65CA" w:rsidP="00DC65CA">
            <w:pPr>
              <w:autoSpaceDE w:val="0"/>
              <w:autoSpaceDN w:val="0"/>
              <w:adjustRightInd w:val="0"/>
              <w:spacing w:before="0" w:line="240" w:lineRule="auto"/>
              <w:rPr>
                <w:rFonts w:asciiTheme="minorHAnsi" w:hAnsiTheme="minorHAnsi"/>
                <w:sz w:val="20"/>
                <w:lang w:val="en-US"/>
              </w:rPr>
            </w:pPr>
            <w:r w:rsidRPr="00E04296">
              <w:rPr>
                <w:rFonts w:asciiTheme="minorHAnsi" w:hAnsiTheme="minorHAnsi"/>
                <w:sz w:val="20"/>
                <w:lang w:val="en-US"/>
              </w:rPr>
              <w:t xml:space="preserve">Gross: Not counting the origin of the jobholder as long as it directly contributes to the increase of total jobs in the </w:t>
            </w:r>
            <w:proofErr w:type="spellStart"/>
            <w:r w:rsidRPr="00E04296">
              <w:rPr>
                <w:rFonts w:asciiTheme="minorHAnsi" w:hAnsiTheme="minorHAnsi"/>
                <w:sz w:val="20"/>
                <w:lang w:val="en-US"/>
              </w:rPr>
              <w:t>organisation</w:t>
            </w:r>
            <w:proofErr w:type="spellEnd"/>
            <w:r w:rsidRPr="00E04296">
              <w:rPr>
                <w:rFonts w:asciiTheme="minorHAnsi" w:hAnsiTheme="minorHAnsi"/>
                <w:sz w:val="20"/>
                <w:lang w:val="en-US"/>
              </w:rPr>
              <w:t xml:space="preserve">. The indicator should be used if the employment increase can plausibly be attributed to the support. </w:t>
            </w:r>
          </w:p>
          <w:p w:rsidR="00DC65CA" w:rsidRPr="00E04296" w:rsidRDefault="00DC65CA" w:rsidP="00DC65CA">
            <w:pPr>
              <w:autoSpaceDE w:val="0"/>
              <w:autoSpaceDN w:val="0"/>
              <w:adjustRightInd w:val="0"/>
              <w:spacing w:before="0" w:line="240" w:lineRule="auto"/>
              <w:rPr>
                <w:rFonts w:asciiTheme="minorHAnsi" w:hAnsiTheme="minorHAnsi"/>
                <w:sz w:val="20"/>
                <w:lang w:val="en-US"/>
              </w:rPr>
            </w:pPr>
            <w:r w:rsidRPr="00E04296">
              <w:rPr>
                <w:rFonts w:asciiTheme="minorHAnsi" w:hAnsiTheme="minorHAnsi"/>
                <w:sz w:val="20"/>
                <w:lang w:val="en-US"/>
              </w:rPr>
              <w:t xml:space="preserve">Full-time equivalent: Jobs can be full time, </w:t>
            </w:r>
            <w:proofErr w:type="spellStart"/>
            <w:r w:rsidRPr="00E04296">
              <w:rPr>
                <w:rFonts w:asciiTheme="minorHAnsi" w:hAnsiTheme="minorHAnsi"/>
                <w:sz w:val="20"/>
                <w:lang w:val="en-US"/>
              </w:rPr>
              <w:t>parttime</w:t>
            </w:r>
            <w:proofErr w:type="spellEnd"/>
            <w:r w:rsidRPr="00E04296">
              <w:rPr>
                <w:rFonts w:asciiTheme="minorHAnsi" w:hAnsiTheme="minorHAnsi"/>
                <w:sz w:val="20"/>
                <w:lang w:val="en-US"/>
              </w:rPr>
              <w:t xml:space="preserve"> or seasonal. Seasonal and part time jobs are to be converted to FTE using ILO/statistical/other standards.</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DC65CA" w:rsidRPr="00E04296" w:rsidRDefault="00DC65CA" w:rsidP="00DC65CA">
            <w:pPr>
              <w:spacing w:line="240" w:lineRule="auto"/>
              <w:rPr>
                <w:rFonts w:asciiTheme="minorHAnsi" w:hAnsiTheme="minorHAnsi"/>
                <w:sz w:val="20"/>
                <w:lang w:val="en-US"/>
              </w:rPr>
            </w:pPr>
            <w:r w:rsidRPr="00E04296">
              <w:rPr>
                <w:rFonts w:asciiTheme="minorHAnsi" w:hAnsiTheme="minorHAnsi"/>
                <w:sz w:val="20"/>
                <w:lang w:val="en-US"/>
              </w:rPr>
              <w:t>RPO WD</w:t>
            </w:r>
          </w:p>
        </w:tc>
      </w:tr>
      <w:tr w:rsidR="00852665" w:rsidRPr="00E04296"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852665" w:rsidRPr="00E04296" w:rsidRDefault="00852665" w:rsidP="00852665">
            <w:pPr>
              <w:pStyle w:val="Default"/>
              <w:rPr>
                <w:rFonts w:asciiTheme="minorHAnsi" w:hAnsiTheme="minorHAnsi" w:cs="ArialNarrow"/>
              </w:rPr>
            </w:pPr>
            <w:r w:rsidRPr="00E04296">
              <w:rPr>
                <w:rFonts w:asciiTheme="minorHAnsi" w:hAnsiTheme="minorHAnsi" w:cs="ArialNarrow"/>
              </w:rPr>
              <w:lastRenderedPageBreak/>
              <w:t>Wzrost zatrudnienia we wspieranych podmiotach (innych niż przedsiębiorstwa)</w:t>
            </w:r>
          </w:p>
          <w:p w:rsidR="00852665" w:rsidRPr="00E04296" w:rsidRDefault="00852665" w:rsidP="00852665">
            <w:pPr>
              <w:pStyle w:val="Default"/>
              <w:rPr>
                <w:rFonts w:asciiTheme="minorHAnsi" w:hAnsiTheme="minorHAnsi" w:cs="ArialNarrow"/>
              </w:rPr>
            </w:pPr>
            <w:r w:rsidRPr="00E04296">
              <w:rPr>
                <w:rFonts w:asciiTheme="minorHAnsi" w:hAnsiTheme="minorHAnsi" w:cs="ArialNarrow"/>
              </w:rPr>
              <w:t>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665" w:rsidRPr="00E04296" w:rsidRDefault="00852665" w:rsidP="003F1889">
            <w:pPr>
              <w:spacing w:before="0" w:line="240" w:lineRule="auto"/>
              <w:jc w:val="center"/>
              <w:rPr>
                <w:rFonts w:asciiTheme="minorHAnsi" w:hAnsiTheme="minorHAnsi" w:cs="ArialNarrow"/>
                <w:sz w:val="20"/>
              </w:rPr>
            </w:pPr>
            <w:r w:rsidRPr="00E04296">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52665" w:rsidRPr="00E04296" w:rsidRDefault="000E1C5E" w:rsidP="00EE4C8C">
            <w:pPr>
              <w:autoSpaceDE w:val="0"/>
              <w:autoSpaceDN w:val="0"/>
              <w:adjustRightInd w:val="0"/>
              <w:spacing w:before="0" w:line="240" w:lineRule="auto"/>
              <w:rPr>
                <w:rFonts w:asciiTheme="minorHAnsi" w:hAnsiTheme="minorHAnsi"/>
                <w:sz w:val="20"/>
              </w:rPr>
            </w:pPr>
            <w:r w:rsidRPr="00E04296">
              <w:rPr>
                <w:rFonts w:asciiTheme="minorHAnsi" w:hAnsiTheme="minorHAnsi"/>
                <w:sz w:val="20"/>
              </w:rPr>
              <w:t>Definicja jak po</w:t>
            </w:r>
            <w:r w:rsidR="00DC65CA" w:rsidRPr="00E04296">
              <w:rPr>
                <w:rFonts w:asciiTheme="minorHAnsi" w:hAnsiTheme="minorHAnsi"/>
                <w:sz w:val="20"/>
              </w:rPr>
              <w:t xml:space="preserve">wyżej </w:t>
            </w:r>
            <w:r w:rsidRPr="00E04296">
              <w:rPr>
                <w:rFonts w:asciiTheme="minorHAnsi" w:hAnsiTheme="minorHAnsi"/>
                <w:sz w:val="20"/>
              </w:rPr>
              <w:t xml:space="preserve">w odniesieniu do </w:t>
            </w:r>
            <w:r w:rsidR="00DC65CA" w:rsidRPr="00E04296">
              <w:rPr>
                <w:rFonts w:asciiTheme="minorHAnsi" w:hAnsiTheme="minorHAnsi"/>
                <w:sz w:val="20"/>
              </w:rPr>
              <w:t>podmiotów innych</w:t>
            </w:r>
            <w:r w:rsidRPr="00E04296">
              <w:rPr>
                <w:rFonts w:asciiTheme="minorHAnsi" w:hAnsiTheme="minorHAnsi"/>
                <w:sz w:val="20"/>
              </w:rPr>
              <w:t xml:space="preserve"> niż przedsiębiorstwa</w:t>
            </w:r>
          </w:p>
          <w:p w:rsidR="002A20B7" w:rsidRPr="00E04296" w:rsidRDefault="002A20B7" w:rsidP="00EE4C8C">
            <w:pPr>
              <w:autoSpaceDE w:val="0"/>
              <w:autoSpaceDN w:val="0"/>
              <w:adjustRightInd w:val="0"/>
              <w:spacing w:before="0" w:line="240" w:lineRule="auto"/>
              <w:rPr>
                <w:rFonts w:asciiTheme="minorHAnsi" w:eastAsiaTheme="minorHAnsi" w:hAnsiTheme="minorHAnsi" w:cstheme="minorBidi"/>
                <w:sz w:val="20"/>
                <w:lang w:eastAsia="en-US"/>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852665" w:rsidRPr="00E04296" w:rsidRDefault="00852665" w:rsidP="003F1889">
            <w:pPr>
              <w:spacing w:line="240" w:lineRule="auto"/>
              <w:jc w:val="center"/>
              <w:rPr>
                <w:rFonts w:asciiTheme="minorHAnsi" w:hAnsiTheme="minorHAnsi"/>
                <w:sz w:val="20"/>
              </w:rPr>
            </w:pPr>
            <w:r w:rsidRPr="00E04296">
              <w:rPr>
                <w:rFonts w:asciiTheme="minorHAnsi" w:hAnsiTheme="minorHAnsi"/>
                <w:sz w:val="20"/>
              </w:rPr>
              <w:t>horyzontalny</w:t>
            </w:r>
          </w:p>
        </w:tc>
      </w:tr>
      <w:tr w:rsidR="003C55C7" w:rsidRPr="00E04296"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3C55C7" w:rsidRDefault="003C55C7" w:rsidP="007650AC">
            <w:pPr>
              <w:pStyle w:val="Default"/>
              <w:rPr>
                <w:rFonts w:asciiTheme="minorHAnsi" w:hAnsiTheme="minorHAnsi" w:cs="ArialNarrow"/>
              </w:rPr>
            </w:pPr>
            <w:r w:rsidRPr="00E04296">
              <w:rPr>
                <w:rFonts w:asciiTheme="minorHAnsi" w:hAnsiTheme="minorHAnsi" w:cs="ArialNarrow"/>
              </w:rPr>
              <w:t>Liczba utrzymanych miejsc pracy</w:t>
            </w:r>
          </w:p>
          <w:p w:rsidR="006619CC" w:rsidRPr="00E04296" w:rsidRDefault="006619CC" w:rsidP="007650AC">
            <w:pPr>
              <w:pStyle w:val="Default"/>
              <w:rPr>
                <w:rFonts w:asciiTheme="minorHAnsi" w:hAnsiTheme="minorHAnsi" w:cs="ArialNarrow"/>
              </w:rPr>
            </w:pPr>
            <w:r w:rsidRPr="006619CC">
              <w:rPr>
                <w:rFonts w:asciiTheme="minorHAnsi" w:hAnsiTheme="minorHAnsi" w:cs="ArialNarrow"/>
              </w:rPr>
              <w:t>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C55C7" w:rsidRPr="00E04296" w:rsidRDefault="003C55C7" w:rsidP="003F1889">
            <w:pPr>
              <w:spacing w:before="0" w:line="240" w:lineRule="auto"/>
              <w:jc w:val="center"/>
              <w:rPr>
                <w:rFonts w:asciiTheme="minorHAnsi" w:hAnsiTheme="minorHAnsi" w:cs="ArialNarrow"/>
                <w:sz w:val="20"/>
              </w:rPr>
            </w:pPr>
            <w:r w:rsidRPr="00E04296">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3C55C7" w:rsidRPr="00E04296" w:rsidRDefault="003C55C7" w:rsidP="00EE4C8C">
            <w:pPr>
              <w:autoSpaceDE w:val="0"/>
              <w:autoSpaceDN w:val="0"/>
              <w:adjustRightInd w:val="0"/>
              <w:spacing w:before="0" w:line="240" w:lineRule="auto"/>
              <w:rPr>
                <w:rFonts w:asciiTheme="minorHAnsi" w:eastAsiaTheme="minorHAnsi" w:hAnsiTheme="minorHAnsi" w:cstheme="minorBidi"/>
                <w:sz w:val="20"/>
                <w:lang w:eastAsia="en-US"/>
              </w:rPr>
            </w:pPr>
            <w:r w:rsidRPr="00E04296">
              <w:rPr>
                <w:rFonts w:asciiTheme="minorHAnsi" w:eastAsiaTheme="minorHAnsi" w:hAnsiTheme="minorHAnsi" w:cstheme="minorBidi"/>
                <w:sz w:val="20"/>
                <w:lang w:eastAsia="en-US"/>
              </w:rPr>
              <w:t>Miejsca pracy utworzone w wyniku realizacji projektu, lecz nie powodują wzrostu zatrudnienia w organizacji</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3C55C7" w:rsidRPr="00E04296" w:rsidRDefault="003C55C7" w:rsidP="003F1889">
            <w:pPr>
              <w:spacing w:line="240" w:lineRule="auto"/>
              <w:jc w:val="center"/>
              <w:rPr>
                <w:rFonts w:asciiTheme="minorHAnsi" w:hAnsiTheme="minorHAnsi"/>
                <w:sz w:val="20"/>
              </w:rPr>
            </w:pPr>
            <w:r w:rsidRPr="00E04296">
              <w:rPr>
                <w:rFonts w:asciiTheme="minorHAnsi" w:hAnsiTheme="minorHAnsi"/>
                <w:sz w:val="20"/>
              </w:rPr>
              <w:t>horyzontalny</w:t>
            </w:r>
          </w:p>
        </w:tc>
      </w:tr>
      <w:tr w:rsidR="003C55C7" w:rsidRPr="00E04296" w:rsidTr="00852665">
        <w:trPr>
          <w:cantSplit/>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3C55C7" w:rsidRDefault="003C55C7" w:rsidP="007650AC">
            <w:pPr>
              <w:pStyle w:val="Default"/>
              <w:rPr>
                <w:rFonts w:asciiTheme="minorHAnsi" w:hAnsiTheme="minorHAnsi" w:cs="ArialNarrow"/>
              </w:rPr>
            </w:pPr>
            <w:r w:rsidRPr="00E04296">
              <w:rPr>
                <w:rFonts w:asciiTheme="minorHAnsi" w:hAnsiTheme="minorHAnsi" w:cs="ArialNarrow"/>
              </w:rPr>
              <w:t xml:space="preserve">Liczba nowo utworzonych miejsc pracy - pozostałe formy </w:t>
            </w:r>
          </w:p>
          <w:p w:rsidR="006619CC" w:rsidRPr="00E04296" w:rsidRDefault="006619CC" w:rsidP="007650AC">
            <w:pPr>
              <w:pStyle w:val="Default"/>
              <w:rPr>
                <w:rFonts w:asciiTheme="minorHAnsi" w:hAnsiTheme="minorHAnsi" w:cs="ArialNarrow"/>
              </w:rPr>
            </w:pPr>
            <w:r w:rsidRPr="006619CC">
              <w:rPr>
                <w:rFonts w:asciiTheme="minorHAnsi" w:hAnsiTheme="minorHAnsi" w:cs="ArialNarrow"/>
              </w:rPr>
              <w:t>O/K/M</w:t>
            </w:r>
          </w:p>
        </w:tc>
        <w:tc>
          <w:tcPr>
            <w:tcW w:w="701"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3C55C7" w:rsidRPr="00E04296" w:rsidRDefault="003C55C7" w:rsidP="003F1889">
            <w:pPr>
              <w:spacing w:before="0" w:line="240" w:lineRule="auto"/>
              <w:jc w:val="center"/>
              <w:rPr>
                <w:rFonts w:asciiTheme="minorHAnsi" w:hAnsiTheme="minorHAnsi" w:cs="ArialNarrow"/>
                <w:sz w:val="20"/>
              </w:rPr>
            </w:pPr>
            <w:r w:rsidRPr="00E04296">
              <w:rPr>
                <w:rFonts w:asciiTheme="minorHAnsi" w:hAnsiTheme="minorHAnsi" w:cs="ArialNarrow"/>
                <w:sz w:val="20"/>
              </w:rPr>
              <w:t>EPC</w:t>
            </w:r>
            <w:bookmarkStart w:id="3" w:name="_GoBack"/>
            <w:bookmarkEnd w:id="3"/>
          </w:p>
        </w:tc>
        <w:tc>
          <w:tcPr>
            <w:tcW w:w="2061"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3C55C7" w:rsidRDefault="00471B0C" w:rsidP="00EE4C8C">
            <w:pPr>
              <w:autoSpaceDE w:val="0"/>
              <w:autoSpaceDN w:val="0"/>
              <w:adjustRightInd w:val="0"/>
              <w:spacing w:before="0" w:line="240" w:lineRule="auto"/>
              <w:rPr>
                <w:rFonts w:asciiTheme="minorHAnsi" w:eastAsiaTheme="minorHAnsi" w:hAnsiTheme="minorHAnsi" w:cs="Verdana"/>
                <w:sz w:val="20"/>
                <w:lang w:eastAsia="en-US"/>
              </w:rPr>
            </w:pPr>
            <w:r w:rsidRPr="00E04296">
              <w:rPr>
                <w:rFonts w:asciiTheme="minorHAnsi" w:eastAsiaTheme="minorHAnsi" w:hAnsiTheme="minorHAnsi" w:cstheme="minorBidi"/>
                <w:iCs/>
                <w:sz w:val="20"/>
                <w:lang w:eastAsia="en-US"/>
              </w:rPr>
              <w:t>Pozostałe formy</w:t>
            </w:r>
            <w:r w:rsidRPr="00E04296">
              <w:rPr>
                <w:rFonts w:asciiTheme="minorHAnsi" w:eastAsiaTheme="minorHAnsi" w:hAnsiTheme="minorHAnsi" w:cs="Verdana"/>
                <w:sz w:val="20"/>
                <w:lang w:eastAsia="en-US"/>
              </w:rPr>
              <w:t>, np. umowy cywilnoprawne, miejsca pracy do obsługi pr</w:t>
            </w:r>
            <w:r w:rsidR="00CE4D84">
              <w:rPr>
                <w:rFonts w:asciiTheme="minorHAnsi" w:eastAsiaTheme="minorHAnsi" w:hAnsiTheme="minorHAnsi" w:cs="Verdana"/>
                <w:sz w:val="20"/>
                <w:lang w:eastAsia="en-US"/>
              </w:rPr>
              <w:t>ojektu, nietrwałe miejsca pracy.</w:t>
            </w:r>
          </w:p>
          <w:p w:rsidR="00CE4D84" w:rsidRPr="007C524A" w:rsidRDefault="00CE4D84" w:rsidP="00EE4C8C">
            <w:pPr>
              <w:autoSpaceDE w:val="0"/>
              <w:autoSpaceDN w:val="0"/>
              <w:adjustRightInd w:val="0"/>
              <w:spacing w:before="0" w:line="240" w:lineRule="auto"/>
              <w:rPr>
                <w:rFonts w:asciiTheme="minorHAnsi" w:eastAsiaTheme="minorHAnsi" w:hAnsiTheme="minorHAnsi" w:cs="Verdana"/>
                <w:b/>
                <w:sz w:val="20"/>
                <w:lang w:eastAsia="en-US"/>
              </w:rPr>
            </w:pPr>
            <w:r w:rsidRPr="007C524A">
              <w:rPr>
                <w:rFonts w:asciiTheme="minorHAnsi" w:eastAsiaTheme="minorHAnsi" w:hAnsiTheme="minorHAnsi" w:cs="Verdana"/>
                <w:b/>
                <w:sz w:val="20"/>
                <w:lang w:eastAsia="en-US"/>
              </w:rPr>
              <w:t>Wskaźnik ma charakter informacyjny.</w:t>
            </w: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3C55C7" w:rsidRPr="00E04296" w:rsidRDefault="003C55C7" w:rsidP="003F1889">
            <w:pPr>
              <w:spacing w:line="240" w:lineRule="auto"/>
              <w:jc w:val="center"/>
              <w:rPr>
                <w:rFonts w:asciiTheme="minorHAnsi" w:hAnsiTheme="minorHAnsi"/>
                <w:sz w:val="20"/>
              </w:rPr>
            </w:pPr>
            <w:r w:rsidRPr="00E04296">
              <w:rPr>
                <w:rFonts w:asciiTheme="minorHAnsi" w:hAnsiTheme="minorHAnsi"/>
                <w:sz w:val="20"/>
              </w:rPr>
              <w:t>horyzontalny</w:t>
            </w:r>
          </w:p>
        </w:tc>
      </w:tr>
    </w:tbl>
    <w:p w:rsidR="00403791" w:rsidRPr="00E04296" w:rsidRDefault="00403791" w:rsidP="00DC65CA">
      <w:pPr>
        <w:pStyle w:val="Default"/>
        <w:jc w:val="both"/>
        <w:rPr>
          <w:rFonts w:asciiTheme="minorHAnsi" w:eastAsiaTheme="minorHAnsi" w:hAnsiTheme="minorHAnsi" w:cstheme="minorBidi"/>
          <w:sz w:val="22"/>
          <w:szCs w:val="22"/>
          <w:lang w:eastAsia="en-US"/>
        </w:rPr>
      </w:pPr>
    </w:p>
    <w:p w:rsidR="00233FBD" w:rsidRPr="00E04296" w:rsidRDefault="00233FBD" w:rsidP="00233FBD">
      <w:pPr>
        <w:autoSpaceDE w:val="0"/>
        <w:autoSpaceDN w:val="0"/>
        <w:adjustRightInd w:val="0"/>
        <w:spacing w:before="120" w:after="120" w:line="240" w:lineRule="auto"/>
        <w:jc w:val="both"/>
        <w:rPr>
          <w:rFonts w:asciiTheme="minorHAnsi" w:eastAsiaTheme="minorHAnsi" w:hAnsiTheme="minorHAnsi" w:cs="Arial"/>
          <w:szCs w:val="22"/>
          <w:lang w:eastAsia="en-US"/>
        </w:rPr>
      </w:pPr>
      <w:r w:rsidRPr="00E04296">
        <w:rPr>
          <w:rFonts w:asciiTheme="minorHAnsi" w:eastAsiaTheme="minorHAnsi" w:hAnsiTheme="minorHAnsi" w:cs="Arial"/>
          <w:szCs w:val="22"/>
          <w:lang w:eastAsia="en-US"/>
        </w:rPr>
        <w:t xml:space="preserve">W ramach wniosku o dofinansowanie Wnioskodawca ma obowiązek uwzględnić </w:t>
      </w:r>
      <w:r w:rsidRPr="00E04296">
        <w:rPr>
          <w:rFonts w:asciiTheme="minorHAnsi" w:eastAsiaTheme="minorHAnsi" w:hAnsiTheme="minorHAnsi" w:cs="Arial"/>
          <w:b/>
          <w:szCs w:val="22"/>
          <w:lang w:eastAsia="en-US"/>
        </w:rPr>
        <w:t>wszystkie adekwatne</w:t>
      </w:r>
      <w:r w:rsidRPr="00E04296">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p>
    <w:p w:rsidR="00233FBD" w:rsidRPr="00E04296" w:rsidRDefault="00233FBD" w:rsidP="00233FBD">
      <w:pPr>
        <w:autoSpaceDE w:val="0"/>
        <w:autoSpaceDN w:val="0"/>
        <w:adjustRightInd w:val="0"/>
        <w:spacing w:before="120" w:after="120" w:line="240" w:lineRule="auto"/>
        <w:jc w:val="both"/>
        <w:rPr>
          <w:rFonts w:asciiTheme="minorHAnsi" w:eastAsiaTheme="minorHAnsi" w:hAnsiTheme="minorHAnsi" w:cs="Arial"/>
          <w:szCs w:val="22"/>
          <w:lang w:eastAsia="en-US"/>
        </w:rPr>
      </w:pPr>
      <w:r w:rsidRPr="00E04296">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233FBD" w:rsidRPr="00E04296" w:rsidRDefault="00233FBD" w:rsidP="00233FBD">
      <w:pPr>
        <w:pStyle w:val="Default"/>
        <w:jc w:val="both"/>
        <w:rPr>
          <w:rFonts w:asciiTheme="minorHAnsi" w:eastAsiaTheme="minorHAnsi" w:hAnsiTheme="minorHAnsi" w:cstheme="minorBidi"/>
          <w:sz w:val="22"/>
          <w:szCs w:val="22"/>
          <w:lang w:eastAsia="en-US"/>
        </w:rPr>
      </w:pPr>
      <w:r w:rsidRPr="00E04296">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DC65CA" w:rsidRPr="00E04296" w:rsidRDefault="00DC65CA" w:rsidP="00DC65CA">
      <w:pPr>
        <w:spacing w:line="240" w:lineRule="auto"/>
        <w:jc w:val="both"/>
        <w:rPr>
          <w:rFonts w:asciiTheme="minorHAnsi" w:hAnsiTheme="minorHAnsi" w:cs="Arial"/>
          <w:b/>
          <w:szCs w:val="22"/>
          <w:u w:val="single"/>
        </w:rPr>
      </w:pPr>
      <w:r w:rsidRPr="00E04296">
        <w:rPr>
          <w:rFonts w:asciiTheme="minorHAnsi" w:hAnsiTheme="minorHAnsi" w:cs="Arial"/>
          <w:b/>
          <w:szCs w:val="22"/>
          <w:u w:val="single"/>
        </w:rPr>
        <w:t>Wartość bazowa (tzn. wartość w momencie rozpoczęcia realizacji projektu) w przypadku każdego wskaźnika powinna być wykazana na poziomie „0”.</w:t>
      </w:r>
    </w:p>
    <w:p w:rsidR="00403791" w:rsidRPr="00E04296" w:rsidRDefault="00403791" w:rsidP="00403791">
      <w:pPr>
        <w:spacing w:line="240" w:lineRule="auto"/>
        <w:jc w:val="both"/>
        <w:rPr>
          <w:rFonts w:asciiTheme="minorHAnsi" w:hAnsiTheme="minorHAnsi" w:cs="Arial"/>
          <w:b/>
          <w:szCs w:val="22"/>
          <w:u w:val="single"/>
        </w:rPr>
      </w:pPr>
      <w:r w:rsidRPr="00E04296">
        <w:rPr>
          <w:rFonts w:asciiTheme="minorHAnsi" w:hAnsiTheme="minorHAnsi" w:cs="Arial"/>
          <w:b/>
          <w:szCs w:val="22"/>
          <w:u w:val="single"/>
        </w:rPr>
        <w:t xml:space="preserve">Efekt wsparcia na poziomie projektu występuje: </w:t>
      </w:r>
    </w:p>
    <w:p w:rsidR="00403791" w:rsidRPr="00E04296" w:rsidRDefault="00403791" w:rsidP="00403791">
      <w:pPr>
        <w:spacing w:line="240" w:lineRule="auto"/>
        <w:jc w:val="both"/>
        <w:rPr>
          <w:rFonts w:asciiTheme="minorHAnsi" w:hAnsiTheme="minorHAnsi" w:cs="Arial"/>
          <w:b/>
          <w:szCs w:val="22"/>
          <w:u w:val="single"/>
        </w:rPr>
      </w:pPr>
      <w:r w:rsidRPr="00E04296">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oraz utrzymanie w okresie trwałości projektu, </w:t>
      </w:r>
    </w:p>
    <w:p w:rsidR="00403791" w:rsidRPr="00E04296" w:rsidRDefault="00403791" w:rsidP="00403791">
      <w:pPr>
        <w:spacing w:line="240" w:lineRule="auto"/>
        <w:jc w:val="both"/>
        <w:rPr>
          <w:rFonts w:asciiTheme="minorHAnsi" w:hAnsiTheme="minorHAnsi" w:cs="Arial"/>
          <w:b/>
          <w:szCs w:val="22"/>
          <w:u w:val="single"/>
        </w:rPr>
      </w:pPr>
      <w:r w:rsidRPr="00E04296">
        <w:rPr>
          <w:rFonts w:asciiTheme="minorHAnsi" w:hAnsiTheme="minorHAnsi" w:cs="Arial"/>
          <w:b/>
          <w:szCs w:val="22"/>
          <w:u w:val="single"/>
        </w:rPr>
        <w:t xml:space="preserve">b) w przypadku wskaźników rezultatu określonych na poziomie projektu: </w:t>
      </w:r>
    </w:p>
    <w:p w:rsidR="00403791" w:rsidRPr="00E04296" w:rsidRDefault="00403791" w:rsidP="00403791">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E04296">
        <w:rPr>
          <w:rFonts w:asciiTheme="minorHAnsi" w:hAnsiTheme="minorHAnsi" w:cs="Arial"/>
          <w:b/>
          <w:szCs w:val="22"/>
          <w:u w:val="single"/>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lub jego korekcie. Wskaźniki rezultatu powinny być utrzymane w okresie trwałości projektu. </w:t>
      </w:r>
    </w:p>
    <w:p w:rsidR="00403791" w:rsidRPr="00E04296" w:rsidRDefault="00403791" w:rsidP="00403791">
      <w:pPr>
        <w:pStyle w:val="Akapitzlist"/>
        <w:spacing w:before="0" w:after="200" w:line="240" w:lineRule="auto"/>
        <w:ind w:left="1080"/>
        <w:contextualSpacing/>
        <w:jc w:val="both"/>
        <w:rPr>
          <w:rFonts w:asciiTheme="minorHAnsi" w:hAnsiTheme="minorHAnsi" w:cs="Arial"/>
          <w:b/>
          <w:szCs w:val="22"/>
          <w:u w:val="single"/>
        </w:rPr>
      </w:pPr>
      <w:r w:rsidRPr="00E04296">
        <w:rPr>
          <w:rFonts w:asciiTheme="minorHAnsi" w:hAnsiTheme="minorHAnsi" w:cs="Arial"/>
          <w:b/>
          <w:szCs w:val="22"/>
          <w:u w:val="single"/>
        </w:rPr>
        <w:t>lub</w:t>
      </w:r>
    </w:p>
    <w:p w:rsidR="00403791" w:rsidRPr="00E04296" w:rsidRDefault="00403791" w:rsidP="00403791">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E04296">
        <w:rPr>
          <w:rFonts w:asciiTheme="minorHAnsi" w:hAnsiTheme="minorHAnsi" w:cs="Arial"/>
          <w:b/>
          <w:szCs w:val="22"/>
          <w:u w:val="single"/>
        </w:rPr>
        <w:t xml:space="preserve">W okresie trwałości projektu, na zasadach określonych przez IZ (w umowie o dofinansowanie projektu) – w przypadku wskaźników, których termin realizacji został wydłużony na wniosek beneficjenta i za zgodą IZ, jednak nie później niż do dnia 31.12.2023 r. </w:t>
      </w:r>
    </w:p>
    <w:p w:rsidR="002D4CFD" w:rsidRPr="00E04296" w:rsidRDefault="002D4CFD" w:rsidP="002D4CFD">
      <w:pPr>
        <w:spacing w:before="0" w:after="200" w:line="240" w:lineRule="auto"/>
        <w:contextualSpacing/>
        <w:jc w:val="both"/>
        <w:rPr>
          <w:rFonts w:asciiTheme="minorHAnsi" w:hAnsiTheme="minorHAnsi" w:cs="Arial"/>
          <w:b/>
          <w:szCs w:val="22"/>
          <w:u w:val="single"/>
        </w:rPr>
      </w:pPr>
    </w:p>
    <w:p w:rsidR="002D4CFD" w:rsidRPr="00E04296" w:rsidRDefault="002D4CFD" w:rsidP="002D4CFD">
      <w:pPr>
        <w:spacing w:before="0" w:after="160" w:line="276" w:lineRule="auto"/>
        <w:rPr>
          <w:rFonts w:ascii="Calibri" w:eastAsia="Calibri" w:hAnsi="Calibri" w:cs="Arial"/>
          <w:b/>
          <w:szCs w:val="22"/>
          <w:lang w:eastAsia="en-US"/>
        </w:rPr>
      </w:pPr>
      <w:r w:rsidRPr="00E04296">
        <w:rPr>
          <w:rFonts w:ascii="Calibri" w:eastAsia="Calibri" w:hAnsi="Calibri" w:cs="Arial"/>
          <w:b/>
          <w:szCs w:val="22"/>
          <w:lang w:eastAsia="en-US"/>
        </w:rPr>
        <w:t>Zgodnie z zapisami Regulaminu</w:t>
      </w:r>
      <w:r w:rsidR="00E04296" w:rsidRPr="00E04296">
        <w:rPr>
          <w:rFonts w:ascii="Calibri" w:eastAsia="Calibri" w:hAnsi="Calibri" w:cs="Arial"/>
          <w:b/>
          <w:szCs w:val="22"/>
          <w:lang w:eastAsia="en-US"/>
        </w:rPr>
        <w:t xml:space="preserve"> w zakresie schematu</w:t>
      </w:r>
      <w:r w:rsidR="00403791" w:rsidRPr="00E04296">
        <w:rPr>
          <w:rFonts w:ascii="Calibri" w:eastAsia="Calibri" w:hAnsi="Calibri" w:cs="Arial"/>
          <w:b/>
          <w:szCs w:val="22"/>
          <w:lang w:eastAsia="en-US"/>
        </w:rPr>
        <w:t xml:space="preserve"> 1.3.B</w:t>
      </w:r>
      <w:r w:rsidRPr="00E04296">
        <w:rPr>
          <w:rFonts w:ascii="Calibri" w:eastAsia="Calibri" w:hAnsi="Calibri" w:cs="Arial"/>
          <w:b/>
          <w:szCs w:val="22"/>
          <w:lang w:eastAsia="en-US"/>
        </w:rPr>
        <w:t>:</w:t>
      </w:r>
    </w:p>
    <w:p w:rsidR="002D4CFD" w:rsidRPr="00E04296" w:rsidRDefault="002D4CFD" w:rsidP="00403791">
      <w:pPr>
        <w:suppressAutoHyphens/>
        <w:autoSpaceDE w:val="0"/>
        <w:autoSpaceDN w:val="0"/>
        <w:adjustRightInd w:val="0"/>
        <w:spacing w:before="0" w:line="276" w:lineRule="auto"/>
        <w:contextualSpacing/>
        <w:jc w:val="both"/>
        <w:rPr>
          <w:rFonts w:ascii="Calibri" w:eastAsia="Calibri" w:hAnsi="Calibri"/>
          <w:szCs w:val="22"/>
        </w:rPr>
      </w:pPr>
      <w:r w:rsidRPr="00E04296">
        <w:rPr>
          <w:rFonts w:ascii="Calibri" w:eastAsia="Calibri" w:hAnsi="Calibri"/>
          <w:szCs w:val="22"/>
        </w:rPr>
        <w:t xml:space="preserve">Rezultatem bezpośrednim projektów będzie odpowiednio: </w:t>
      </w:r>
    </w:p>
    <w:p w:rsidR="002D4CFD" w:rsidRPr="00E04296" w:rsidRDefault="002D4CFD" w:rsidP="002D4CFD">
      <w:pPr>
        <w:numPr>
          <w:ilvl w:val="0"/>
          <w:numId w:val="12"/>
        </w:numPr>
        <w:tabs>
          <w:tab w:val="left" w:pos="0"/>
        </w:tabs>
        <w:suppressAutoHyphens/>
        <w:autoSpaceDE w:val="0"/>
        <w:autoSpaceDN w:val="0"/>
        <w:adjustRightInd w:val="0"/>
        <w:spacing w:before="120" w:after="120" w:line="276" w:lineRule="auto"/>
        <w:contextualSpacing/>
        <w:jc w:val="both"/>
        <w:rPr>
          <w:rFonts w:ascii="Calibri" w:eastAsia="Calibri" w:hAnsi="Calibri"/>
          <w:szCs w:val="22"/>
        </w:rPr>
      </w:pPr>
      <w:r w:rsidRPr="00E04296">
        <w:rPr>
          <w:rFonts w:ascii="Calibri" w:eastAsia="Calibri" w:hAnsi="Calibri"/>
          <w:szCs w:val="22"/>
        </w:rPr>
        <w:t xml:space="preserve">liczba małych i średnich przedsiębiorstw zlokalizowanych we wspartej infrastrukturze </w:t>
      </w:r>
    </w:p>
    <w:p w:rsidR="002D4CFD" w:rsidRPr="00E04296" w:rsidRDefault="002D4CFD" w:rsidP="002D4CFD">
      <w:pPr>
        <w:spacing w:before="0" w:after="160" w:line="256" w:lineRule="auto"/>
        <w:ind w:left="459"/>
        <w:rPr>
          <w:rFonts w:ascii="Calibri" w:eastAsia="Calibri" w:hAnsi="Calibri"/>
          <w:szCs w:val="22"/>
          <w:lang w:eastAsia="en-US"/>
        </w:rPr>
      </w:pPr>
      <w:r w:rsidRPr="00E04296">
        <w:rPr>
          <w:rFonts w:ascii="Calibri" w:eastAsia="Calibri" w:hAnsi="Calibri"/>
          <w:szCs w:val="22"/>
          <w:lang w:eastAsia="en-US"/>
        </w:rPr>
        <w:t xml:space="preserve">oraz </w:t>
      </w:r>
    </w:p>
    <w:p w:rsidR="002D4CFD" w:rsidRPr="00E04296" w:rsidRDefault="002D4CFD" w:rsidP="0079523D">
      <w:pPr>
        <w:numPr>
          <w:ilvl w:val="0"/>
          <w:numId w:val="12"/>
        </w:numPr>
        <w:tabs>
          <w:tab w:val="left" w:pos="0"/>
        </w:tabs>
        <w:suppressAutoHyphens/>
        <w:autoSpaceDE w:val="0"/>
        <w:autoSpaceDN w:val="0"/>
        <w:adjustRightInd w:val="0"/>
        <w:spacing w:before="120" w:after="120" w:line="276" w:lineRule="auto"/>
        <w:contextualSpacing/>
        <w:jc w:val="both"/>
        <w:rPr>
          <w:rFonts w:ascii="Calibri" w:eastAsia="Calibri" w:hAnsi="Calibri"/>
          <w:szCs w:val="22"/>
        </w:rPr>
      </w:pPr>
      <w:r w:rsidRPr="00E04296">
        <w:rPr>
          <w:rFonts w:ascii="Calibri" w:eastAsia="Calibri" w:hAnsi="Calibri"/>
          <w:szCs w:val="22"/>
        </w:rPr>
        <w:lastRenderedPageBreak/>
        <w:t xml:space="preserve">liczba miejsc pracy utworzonych w MŚP. </w:t>
      </w:r>
    </w:p>
    <w:p w:rsidR="0079523D" w:rsidRPr="00E04296" w:rsidRDefault="0079523D" w:rsidP="0079523D">
      <w:pPr>
        <w:tabs>
          <w:tab w:val="left" w:pos="0"/>
        </w:tabs>
        <w:suppressAutoHyphens/>
        <w:autoSpaceDE w:val="0"/>
        <w:autoSpaceDN w:val="0"/>
        <w:adjustRightInd w:val="0"/>
        <w:spacing w:before="120" w:after="120" w:line="276" w:lineRule="auto"/>
        <w:ind w:left="720"/>
        <w:contextualSpacing/>
        <w:jc w:val="both"/>
        <w:rPr>
          <w:rFonts w:ascii="Calibri" w:eastAsia="Calibri" w:hAnsi="Calibri"/>
          <w:szCs w:val="22"/>
        </w:rPr>
      </w:pPr>
    </w:p>
    <w:p w:rsidR="002D4CFD" w:rsidRPr="00E04296" w:rsidRDefault="002D4CFD" w:rsidP="002D4CFD">
      <w:pPr>
        <w:spacing w:before="0" w:after="160" w:line="276" w:lineRule="auto"/>
        <w:jc w:val="both"/>
        <w:rPr>
          <w:rFonts w:ascii="Calibri" w:eastAsia="Calibri" w:hAnsi="Calibri"/>
          <w:szCs w:val="22"/>
          <w:lang w:eastAsia="en-US"/>
        </w:rPr>
      </w:pPr>
      <w:r w:rsidRPr="00E04296">
        <w:rPr>
          <w:rFonts w:ascii="Calibri" w:eastAsia="Calibri" w:hAnsi="Calibri"/>
          <w:szCs w:val="22"/>
          <w:lang w:eastAsia="en-US"/>
        </w:rPr>
        <w:t>Rezultaty bezpośrednie będą wskazane w umowie o dofinansowanie projektu (w oświadczeniu</w:t>
      </w:r>
      <w:r w:rsidRPr="00E04296">
        <w:rPr>
          <w:rFonts w:ascii="Calibri" w:eastAsia="Calibri" w:hAnsi="Calibri"/>
          <w:szCs w:val="22"/>
          <w:vertAlign w:val="superscript"/>
          <w:lang w:eastAsia="en-US"/>
        </w:rPr>
        <w:footnoteReference w:id="1"/>
      </w:r>
      <w:r w:rsidRPr="00E04296">
        <w:rPr>
          <w:rFonts w:ascii="Calibri" w:eastAsia="Calibri" w:hAnsi="Calibri"/>
          <w:szCs w:val="22"/>
          <w:lang w:eastAsia="en-US"/>
        </w:rPr>
        <w:t xml:space="preserve"> przygotowanym według wzoru stanowiącego załącznik do wniosku o dofinansowanie). </w:t>
      </w:r>
    </w:p>
    <w:p w:rsidR="002D4CFD" w:rsidRPr="00E04296" w:rsidRDefault="002D4CFD" w:rsidP="002D4CFD">
      <w:pPr>
        <w:spacing w:before="0" w:after="200" w:line="240" w:lineRule="auto"/>
        <w:contextualSpacing/>
        <w:jc w:val="both"/>
        <w:rPr>
          <w:rFonts w:asciiTheme="minorHAnsi" w:hAnsiTheme="minorHAnsi" w:cs="Arial"/>
          <w:b/>
          <w:szCs w:val="22"/>
          <w:u w:val="single"/>
        </w:rPr>
      </w:pPr>
    </w:p>
    <w:p w:rsidR="006033E8" w:rsidRPr="00E04296" w:rsidRDefault="00973C44" w:rsidP="006033E8">
      <w:pPr>
        <w:spacing w:before="0" w:after="200" w:line="276" w:lineRule="auto"/>
        <w:rPr>
          <w:rFonts w:asciiTheme="minorHAnsi" w:hAnsiTheme="minorHAnsi"/>
          <w:szCs w:val="22"/>
        </w:rPr>
      </w:pPr>
      <w:r w:rsidRPr="00E04296">
        <w:rPr>
          <w:rFonts w:asciiTheme="minorHAnsi" w:hAnsiTheme="minorHAnsi"/>
          <w:szCs w:val="22"/>
        </w:rPr>
        <w:t>Uwaga!</w:t>
      </w:r>
    </w:p>
    <w:p w:rsidR="00E51075" w:rsidRPr="00E04296" w:rsidRDefault="00E51075" w:rsidP="00E51075">
      <w:pPr>
        <w:spacing w:before="0" w:line="276" w:lineRule="auto"/>
        <w:jc w:val="both"/>
        <w:rPr>
          <w:rFonts w:ascii="Calibri" w:eastAsia="Calibri" w:hAnsi="Calibri"/>
          <w:szCs w:val="22"/>
          <w:lang w:eastAsia="en-US"/>
        </w:rPr>
      </w:pPr>
      <w:r w:rsidRPr="00E04296">
        <w:rPr>
          <w:rFonts w:ascii="Calibri" w:eastAsia="Calibri" w:hAnsi="Calibri"/>
          <w:szCs w:val="22"/>
          <w:lang w:eastAsia="en-US"/>
        </w:rPr>
        <w:t xml:space="preserve">Zgodnie z załącznikiem nr 2 „Lista wskaźników do wykonania celów pośrednich oraz końcowych” do Porozumienia nr </w:t>
      </w:r>
      <w:r w:rsidR="00EC1693" w:rsidRPr="00E04296">
        <w:rPr>
          <w:rFonts w:ascii="Calibri" w:eastAsia="Calibri" w:hAnsi="Calibri"/>
          <w:szCs w:val="22"/>
          <w:lang w:eastAsia="en-US"/>
        </w:rPr>
        <w:t xml:space="preserve">2/2015 </w:t>
      </w:r>
      <w:r w:rsidRPr="00E04296">
        <w:rPr>
          <w:rFonts w:ascii="Calibri" w:eastAsia="Calibri" w:hAnsi="Calibri"/>
          <w:szCs w:val="22"/>
          <w:lang w:eastAsia="en-US"/>
        </w:rPr>
        <w:t xml:space="preserve">z dnia </w:t>
      </w:r>
      <w:r w:rsidR="00EC1693" w:rsidRPr="00E04296">
        <w:rPr>
          <w:rFonts w:ascii="Calibri" w:eastAsia="Calibri" w:hAnsi="Calibri"/>
          <w:szCs w:val="22"/>
          <w:lang w:eastAsia="en-US"/>
        </w:rPr>
        <w:t>18</w:t>
      </w:r>
      <w:r w:rsidRPr="00E04296">
        <w:rPr>
          <w:rFonts w:ascii="Calibri" w:eastAsia="Calibri" w:hAnsi="Calibri"/>
          <w:szCs w:val="22"/>
          <w:lang w:eastAsia="en-US"/>
        </w:rPr>
        <w:t xml:space="preserve"> czerwca 2015</w:t>
      </w:r>
      <w:r w:rsidR="00EC1693" w:rsidRPr="00E04296">
        <w:rPr>
          <w:rFonts w:ascii="Calibri" w:eastAsia="Calibri" w:hAnsi="Calibri"/>
          <w:szCs w:val="22"/>
          <w:lang w:eastAsia="en-US"/>
        </w:rPr>
        <w:t xml:space="preserve"> </w:t>
      </w:r>
      <w:r w:rsidRPr="00E04296">
        <w:rPr>
          <w:rFonts w:ascii="Calibri" w:eastAsia="Calibri" w:hAnsi="Calibri"/>
          <w:szCs w:val="22"/>
          <w:lang w:eastAsia="en-US"/>
        </w:rPr>
        <w:t>r. zawartego pomiędzy Województwem Dolnośląskim, a Gminą Wrocław - pełniącą rolę lidera ZIT Wrocławskiego Obszaru Funkcjonalnego (ze zm.) wskaźniki produktu i rezultatu weryfikowane na etapie oceny strategicznej ZIT są tożsame z wyżej wskazanymi, tj.:</w:t>
      </w:r>
    </w:p>
    <w:p w:rsidR="00EC1693" w:rsidRPr="00E04296" w:rsidRDefault="00EC1693" w:rsidP="00E51075">
      <w:pPr>
        <w:spacing w:before="0" w:line="276" w:lineRule="auto"/>
        <w:jc w:val="both"/>
        <w:rPr>
          <w:rFonts w:ascii="Calibri" w:eastAsia="Calibri" w:hAnsi="Calibri"/>
          <w:szCs w:val="22"/>
          <w:lang w:eastAsia="en-US"/>
        </w:rPr>
      </w:pPr>
    </w:p>
    <w:p w:rsidR="00E51075" w:rsidRPr="00E04296" w:rsidRDefault="00EC1693" w:rsidP="00E51075">
      <w:pPr>
        <w:spacing w:before="0" w:line="276" w:lineRule="auto"/>
        <w:jc w:val="both"/>
        <w:rPr>
          <w:rFonts w:ascii="Calibri" w:eastAsia="Calibri" w:hAnsi="Calibri"/>
          <w:szCs w:val="22"/>
          <w:u w:val="single"/>
          <w:lang w:eastAsia="en-US"/>
        </w:rPr>
      </w:pPr>
      <w:r w:rsidRPr="00E04296">
        <w:rPr>
          <w:rFonts w:ascii="Calibri" w:eastAsia="Calibri" w:hAnsi="Calibri"/>
          <w:szCs w:val="22"/>
          <w:u w:val="single"/>
          <w:lang w:eastAsia="en-US"/>
        </w:rPr>
        <w:t>wskaźnikami produktu:</w:t>
      </w:r>
    </w:p>
    <w:p w:rsidR="00E51075" w:rsidRPr="00E04296" w:rsidRDefault="00E51075" w:rsidP="00E51075">
      <w:pPr>
        <w:spacing w:before="0" w:line="276" w:lineRule="auto"/>
        <w:jc w:val="both"/>
        <w:rPr>
          <w:rFonts w:ascii="Calibri" w:eastAsia="Calibri" w:hAnsi="Calibri"/>
          <w:szCs w:val="22"/>
          <w:lang w:eastAsia="en-US"/>
        </w:rPr>
      </w:pPr>
      <w:r w:rsidRPr="00E04296">
        <w:rPr>
          <w:rFonts w:ascii="Calibri" w:eastAsia="Calibri" w:hAnsi="Calibri"/>
          <w:szCs w:val="22"/>
          <w:lang w:eastAsia="en-US"/>
        </w:rPr>
        <w:t>- Liczba wspartych inkubatorów przedsiębiorczości [szt.];</w:t>
      </w:r>
    </w:p>
    <w:p w:rsidR="00EC1693" w:rsidRPr="00E04296" w:rsidRDefault="00EC1693" w:rsidP="00E51075">
      <w:pPr>
        <w:spacing w:before="0" w:line="276" w:lineRule="auto"/>
        <w:jc w:val="both"/>
        <w:rPr>
          <w:rFonts w:ascii="Calibri" w:eastAsia="Calibri" w:hAnsi="Calibri"/>
          <w:szCs w:val="22"/>
          <w:lang w:eastAsia="en-US"/>
        </w:rPr>
      </w:pPr>
    </w:p>
    <w:p w:rsidR="00E51075" w:rsidRPr="00E04296" w:rsidRDefault="00E51075" w:rsidP="00E51075">
      <w:pPr>
        <w:spacing w:before="0" w:line="276" w:lineRule="auto"/>
        <w:jc w:val="both"/>
        <w:rPr>
          <w:rFonts w:ascii="Calibri" w:eastAsia="Calibri" w:hAnsi="Calibri"/>
          <w:szCs w:val="22"/>
          <w:u w:val="single"/>
          <w:lang w:eastAsia="en-US"/>
        </w:rPr>
      </w:pPr>
      <w:r w:rsidRPr="00E04296">
        <w:rPr>
          <w:rFonts w:ascii="Calibri" w:eastAsia="Calibri" w:hAnsi="Calibri"/>
          <w:szCs w:val="22"/>
          <w:u w:val="single"/>
          <w:lang w:eastAsia="en-US"/>
        </w:rPr>
        <w:t>wskaźnikami rezultatu bezpośredniego:</w:t>
      </w:r>
    </w:p>
    <w:p w:rsidR="00E51075" w:rsidRPr="00E04296" w:rsidRDefault="00E51075" w:rsidP="00E51075">
      <w:pPr>
        <w:spacing w:before="0" w:line="276" w:lineRule="auto"/>
        <w:jc w:val="both"/>
        <w:rPr>
          <w:rFonts w:ascii="Calibri" w:eastAsia="Calibri" w:hAnsi="Calibri"/>
          <w:szCs w:val="22"/>
          <w:lang w:eastAsia="en-US"/>
        </w:rPr>
      </w:pPr>
      <w:r w:rsidRPr="00E04296">
        <w:rPr>
          <w:rFonts w:ascii="Calibri" w:eastAsia="Calibri" w:hAnsi="Calibri"/>
          <w:szCs w:val="22"/>
          <w:lang w:eastAsia="en-US"/>
        </w:rPr>
        <w:t xml:space="preserve">- Liczba przedsiębiorstw otrzymujących wsparcie [przedsiębiorstwa]; </w:t>
      </w:r>
    </w:p>
    <w:p w:rsidR="00E51075" w:rsidRPr="00E04296" w:rsidRDefault="00E51075" w:rsidP="00E51075">
      <w:pPr>
        <w:spacing w:before="0" w:line="276" w:lineRule="auto"/>
        <w:jc w:val="both"/>
        <w:rPr>
          <w:rFonts w:ascii="Calibri" w:eastAsia="Calibri" w:hAnsi="Calibri"/>
          <w:szCs w:val="22"/>
          <w:lang w:eastAsia="en-US"/>
        </w:rPr>
      </w:pPr>
      <w:r w:rsidRPr="00E04296">
        <w:rPr>
          <w:rFonts w:ascii="Calibri" w:eastAsia="Calibri" w:hAnsi="Calibri"/>
          <w:szCs w:val="22"/>
          <w:lang w:eastAsia="en-US"/>
        </w:rPr>
        <w:t>- Liczba przedsiębiorstw otrzymujących wsparcie niefinansowe [przedsiębiorstwa];</w:t>
      </w:r>
    </w:p>
    <w:p w:rsidR="00EC1693" w:rsidRPr="00E04296" w:rsidRDefault="00EC1693" w:rsidP="00E51075">
      <w:pPr>
        <w:spacing w:before="0" w:after="120" w:line="276" w:lineRule="auto"/>
        <w:jc w:val="both"/>
        <w:rPr>
          <w:rFonts w:ascii="Calibri" w:eastAsia="Calibri" w:hAnsi="Calibri"/>
          <w:szCs w:val="22"/>
          <w:lang w:eastAsia="en-US"/>
        </w:rPr>
      </w:pPr>
    </w:p>
    <w:p w:rsidR="00E51075" w:rsidRPr="00E51075" w:rsidRDefault="00E51075" w:rsidP="00E51075">
      <w:pPr>
        <w:spacing w:before="0" w:after="120" w:line="276" w:lineRule="auto"/>
        <w:jc w:val="both"/>
        <w:rPr>
          <w:rFonts w:ascii="Calibri" w:eastAsia="Calibri" w:hAnsi="Calibri"/>
          <w:szCs w:val="22"/>
          <w:lang w:eastAsia="en-US"/>
        </w:rPr>
      </w:pPr>
      <w:r w:rsidRPr="00E04296">
        <w:rPr>
          <w:rFonts w:ascii="Calibri" w:eastAsia="Calibri" w:hAnsi="Calibri"/>
          <w:szCs w:val="22"/>
          <w:lang w:eastAsia="en-US"/>
        </w:rPr>
        <w:t>W przypadku wskaźników rezultatu bezpośredniego, jeżeli we wniosku o dofinansowanie projektu, postęp jego realizacji mierzony będzie wskaźnikiem Liczba przedsiębiorstw otrzymujących wsparcie niefinansowe [szt.], wnioskodawca zobowiązany jest równocześnie do wybrania wskaźnika rezultatu bezpośredniego Liczba przedsiębiorstw otrzymujących wsparcie [szt.], ponieważ wskaźnik ten obejmuje wszystkie formy wsparcia, w tym także niefinansowe.</w:t>
      </w:r>
    </w:p>
    <w:p w:rsidR="009126E5" w:rsidRDefault="009126E5" w:rsidP="006033E8">
      <w:pPr>
        <w:spacing w:before="0" w:after="200" w:line="276" w:lineRule="auto"/>
        <w:rPr>
          <w:rFonts w:asciiTheme="minorHAnsi" w:hAnsiTheme="minorHAnsi"/>
          <w:szCs w:val="22"/>
        </w:rPr>
      </w:pPr>
    </w:p>
    <w:p w:rsidR="0032765F" w:rsidRPr="00911273" w:rsidRDefault="0032765F" w:rsidP="007650AC">
      <w:pPr>
        <w:spacing w:line="240" w:lineRule="auto"/>
        <w:rPr>
          <w:szCs w:val="22"/>
        </w:rPr>
      </w:pPr>
    </w:p>
    <w:sectPr w:rsidR="0032765F" w:rsidRPr="00911273" w:rsidSect="00852665">
      <w:headerReference w:type="default" r:id="rId8"/>
      <w:footerReference w:type="default" r:id="rId9"/>
      <w:pgSz w:w="11906" w:h="16838"/>
      <w:pgMar w:top="1417" w:right="1417" w:bottom="1843"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58C" w:rsidRDefault="009C558C" w:rsidP="008C495E">
      <w:pPr>
        <w:spacing w:before="0" w:line="240" w:lineRule="auto"/>
      </w:pPr>
      <w:r>
        <w:separator/>
      </w:r>
    </w:p>
  </w:endnote>
  <w:endnote w:type="continuationSeparator" w:id="0">
    <w:p w:rsidR="009C558C" w:rsidRDefault="009C558C"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Narrow">
    <w:altName w:val="Arial"/>
    <w:charset w:val="00"/>
    <w:family w:val="swiss"/>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D721EE" w:rsidRPr="00D721EE" w:rsidRDefault="00D721EE">
            <w:pPr>
              <w:pStyle w:val="Stopka"/>
              <w:jc w:val="center"/>
              <w:rPr>
                <w:rFonts w:asciiTheme="minorHAnsi" w:hAnsiTheme="minorHAnsi"/>
                <w:sz w:val="20"/>
              </w:rPr>
            </w:pPr>
            <w:r w:rsidRPr="00D721EE">
              <w:rPr>
                <w:rFonts w:asciiTheme="minorHAnsi" w:hAnsiTheme="minorHAnsi"/>
                <w:sz w:val="20"/>
              </w:rPr>
              <w:t xml:space="preserve">Strona </w:t>
            </w:r>
            <w:r w:rsidR="00D4113B" w:rsidRPr="00D721EE">
              <w:rPr>
                <w:rFonts w:asciiTheme="minorHAnsi" w:hAnsiTheme="minorHAnsi"/>
                <w:b/>
                <w:bCs/>
                <w:sz w:val="20"/>
              </w:rPr>
              <w:fldChar w:fldCharType="begin"/>
            </w:r>
            <w:r w:rsidRPr="00D721EE">
              <w:rPr>
                <w:rFonts w:asciiTheme="minorHAnsi" w:hAnsiTheme="minorHAnsi"/>
                <w:b/>
                <w:bCs/>
                <w:sz w:val="20"/>
              </w:rPr>
              <w:instrText>PAGE</w:instrText>
            </w:r>
            <w:r w:rsidR="00D4113B" w:rsidRPr="00D721EE">
              <w:rPr>
                <w:rFonts w:asciiTheme="minorHAnsi" w:hAnsiTheme="minorHAnsi"/>
                <w:b/>
                <w:bCs/>
                <w:sz w:val="20"/>
              </w:rPr>
              <w:fldChar w:fldCharType="separate"/>
            </w:r>
            <w:r w:rsidR="007C524A">
              <w:rPr>
                <w:rFonts w:asciiTheme="minorHAnsi" w:hAnsiTheme="minorHAnsi"/>
                <w:b/>
                <w:bCs/>
                <w:noProof/>
                <w:sz w:val="20"/>
              </w:rPr>
              <w:t>10</w:t>
            </w:r>
            <w:r w:rsidR="00D4113B" w:rsidRPr="00D721EE">
              <w:rPr>
                <w:rFonts w:asciiTheme="minorHAnsi" w:hAnsiTheme="minorHAnsi"/>
                <w:b/>
                <w:bCs/>
                <w:sz w:val="20"/>
              </w:rPr>
              <w:fldChar w:fldCharType="end"/>
            </w:r>
            <w:r w:rsidRPr="00D721EE">
              <w:rPr>
                <w:rFonts w:asciiTheme="minorHAnsi" w:hAnsiTheme="minorHAnsi"/>
                <w:sz w:val="20"/>
              </w:rPr>
              <w:t xml:space="preserve"> z </w:t>
            </w:r>
            <w:r w:rsidR="00D4113B" w:rsidRPr="00D721EE">
              <w:rPr>
                <w:rFonts w:asciiTheme="minorHAnsi" w:hAnsiTheme="minorHAnsi"/>
                <w:b/>
                <w:bCs/>
                <w:sz w:val="20"/>
              </w:rPr>
              <w:fldChar w:fldCharType="begin"/>
            </w:r>
            <w:r w:rsidRPr="00D721EE">
              <w:rPr>
                <w:rFonts w:asciiTheme="minorHAnsi" w:hAnsiTheme="minorHAnsi"/>
                <w:b/>
                <w:bCs/>
                <w:sz w:val="20"/>
              </w:rPr>
              <w:instrText>NUMPAGES</w:instrText>
            </w:r>
            <w:r w:rsidR="00D4113B" w:rsidRPr="00D721EE">
              <w:rPr>
                <w:rFonts w:asciiTheme="minorHAnsi" w:hAnsiTheme="minorHAnsi"/>
                <w:b/>
                <w:bCs/>
                <w:sz w:val="20"/>
              </w:rPr>
              <w:fldChar w:fldCharType="separate"/>
            </w:r>
            <w:r w:rsidR="007C524A">
              <w:rPr>
                <w:rFonts w:asciiTheme="minorHAnsi" w:hAnsiTheme="minorHAnsi"/>
                <w:b/>
                <w:bCs/>
                <w:noProof/>
                <w:sz w:val="20"/>
              </w:rPr>
              <w:t>10</w:t>
            </w:r>
            <w:r w:rsidR="00D4113B" w:rsidRPr="00D721EE">
              <w:rPr>
                <w:rFonts w:asciiTheme="minorHAnsi" w:hAnsiTheme="minorHAnsi"/>
                <w:b/>
                <w:bCs/>
                <w:sz w:val="20"/>
              </w:rPr>
              <w:fldChar w:fldCharType="end"/>
            </w:r>
          </w:p>
        </w:sdtContent>
      </w:sdt>
    </w:sdtContent>
  </w:sdt>
  <w:p w:rsidR="00D721EE" w:rsidRPr="00D721EE" w:rsidRDefault="00D721EE">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58C" w:rsidRDefault="009C558C" w:rsidP="008C495E">
      <w:pPr>
        <w:spacing w:before="0" w:line="240" w:lineRule="auto"/>
      </w:pPr>
      <w:r>
        <w:separator/>
      </w:r>
    </w:p>
  </w:footnote>
  <w:footnote w:type="continuationSeparator" w:id="0">
    <w:p w:rsidR="009C558C" w:rsidRDefault="009C558C" w:rsidP="008C495E">
      <w:pPr>
        <w:spacing w:before="0" w:line="240" w:lineRule="auto"/>
      </w:pPr>
      <w:r>
        <w:continuationSeparator/>
      </w:r>
    </w:p>
  </w:footnote>
  <w:footnote w:id="1">
    <w:p w:rsidR="002D4CFD" w:rsidRDefault="002D4CFD" w:rsidP="002D4CFD">
      <w:pPr>
        <w:pStyle w:val="Tekstprzypisudolnego"/>
        <w:rPr>
          <w:rFonts w:ascii="Calibri" w:hAnsi="Calibri"/>
        </w:rPr>
      </w:pPr>
      <w:r>
        <w:rPr>
          <w:rStyle w:val="Odwoanieprzypisudolnego"/>
          <w:rFonts w:ascii="Calibri" w:hAnsi="Calibri"/>
        </w:rPr>
        <w:footnoteRef/>
      </w:r>
      <w:r>
        <w:rPr>
          <w:rFonts w:ascii="Calibri" w:hAnsi="Calibri"/>
        </w:rPr>
        <w:t xml:space="preserve"> Oświadczeniu o osiągnięciu rezultatów bezpośrednich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8F" w:rsidRPr="00233FBD" w:rsidRDefault="00C0278F" w:rsidP="00233FBD">
    <w:pPr>
      <w:pStyle w:val="Nagwek"/>
      <w:jc w:val="right"/>
    </w:pPr>
    <w:r>
      <w:tab/>
    </w:r>
    <w:r w:rsidRPr="00C0278F">
      <w:rPr>
        <w:rFonts w:asciiTheme="minorHAnsi" w:hAnsiTheme="minorHAnsi"/>
        <w:sz w:val="20"/>
      </w:rPr>
      <w:t xml:space="preserve">Załącznik  nr </w:t>
    </w:r>
    <w:r w:rsidR="00C621AD">
      <w:rPr>
        <w:rFonts w:asciiTheme="minorHAnsi" w:hAnsiTheme="minorHAnsi"/>
        <w:sz w:val="20"/>
      </w:rPr>
      <w:t>1 do instrukcji wypełniania wniosku o dofinansowanie</w:t>
    </w:r>
  </w:p>
  <w:p w:rsidR="00C0278F" w:rsidRPr="00403791" w:rsidRDefault="00332CDB" w:rsidP="00403791">
    <w:pPr>
      <w:tabs>
        <w:tab w:val="left" w:pos="5190"/>
      </w:tabs>
      <w:spacing w:before="0" w:line="240" w:lineRule="auto"/>
      <w:jc w:val="center"/>
      <w:rPr>
        <w:rFonts w:asciiTheme="minorHAnsi" w:hAnsiTheme="minorHAnsi"/>
        <w:b/>
        <w:sz w:val="20"/>
      </w:rPr>
    </w:pPr>
    <w:r>
      <w:rPr>
        <w:rFonts w:ascii="Calibri" w:hAnsi="Calibri" w:cs="Arial"/>
        <w:sz w:val="20"/>
      </w:rPr>
      <w:t xml:space="preserve">                                                                                            </w:t>
    </w:r>
    <w:r w:rsidR="009126E5">
      <w:rPr>
        <w:rFonts w:ascii="Calibri" w:hAnsi="Calibri" w:cs="Arial"/>
        <w:sz w:val="20"/>
      </w:rPr>
      <w:t xml:space="preserve">     </w:t>
    </w:r>
    <w:r w:rsidR="009126E5">
      <w:rPr>
        <w:rFonts w:ascii="Calibri" w:hAnsi="Calibri" w:cs="Arial"/>
        <w:sz w:val="20"/>
      </w:rPr>
      <w:tab/>
    </w:r>
    <w:r w:rsidR="00233FBD">
      <w:rPr>
        <w:rFonts w:ascii="Calibri" w:hAnsi="Calibri" w:cs="Arial"/>
        <w:sz w:val="20"/>
      </w:rPr>
      <w:t xml:space="preserve">Nr naboru </w:t>
    </w:r>
    <w:r w:rsidR="00986FA5" w:rsidRPr="00986FA5">
      <w:rPr>
        <w:rFonts w:asciiTheme="minorHAnsi" w:hAnsiTheme="minorHAnsi"/>
        <w:sz w:val="20"/>
      </w:rPr>
      <w:t>RPDS.01.03.01-IP.01-02-418/210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8"/>
  </w:num>
  <w:num w:numId="8">
    <w:abstractNumId w:val="10"/>
  </w:num>
  <w:num w:numId="9">
    <w:abstractNumId w:val="0"/>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07F32"/>
    <w:rsid w:val="00094C3F"/>
    <w:rsid w:val="00095C84"/>
    <w:rsid w:val="000B6963"/>
    <w:rsid w:val="000C57E0"/>
    <w:rsid w:val="000E1C5E"/>
    <w:rsid w:val="000F305B"/>
    <w:rsid w:val="000F5C98"/>
    <w:rsid w:val="00114550"/>
    <w:rsid w:val="00114E86"/>
    <w:rsid w:val="0011515E"/>
    <w:rsid w:val="00141571"/>
    <w:rsid w:val="00151BAD"/>
    <w:rsid w:val="0015486C"/>
    <w:rsid w:val="0017262A"/>
    <w:rsid w:val="00191605"/>
    <w:rsid w:val="001952FB"/>
    <w:rsid w:val="001B7345"/>
    <w:rsid w:val="001C4F9E"/>
    <w:rsid w:val="00233FBD"/>
    <w:rsid w:val="00253FAA"/>
    <w:rsid w:val="002972E4"/>
    <w:rsid w:val="002A1BDB"/>
    <w:rsid w:val="002A20B7"/>
    <w:rsid w:val="002B6673"/>
    <w:rsid w:val="002C1258"/>
    <w:rsid w:val="002C1BFC"/>
    <w:rsid w:val="002D4CFD"/>
    <w:rsid w:val="002D5507"/>
    <w:rsid w:val="002E6E1E"/>
    <w:rsid w:val="002F6273"/>
    <w:rsid w:val="0032765F"/>
    <w:rsid w:val="0033077A"/>
    <w:rsid w:val="00332CDB"/>
    <w:rsid w:val="00340A6B"/>
    <w:rsid w:val="00364299"/>
    <w:rsid w:val="00370466"/>
    <w:rsid w:val="00382252"/>
    <w:rsid w:val="003C55C7"/>
    <w:rsid w:val="003D2C3D"/>
    <w:rsid w:val="003D3BC5"/>
    <w:rsid w:val="003E7930"/>
    <w:rsid w:val="003F1889"/>
    <w:rsid w:val="003F445C"/>
    <w:rsid w:val="00403791"/>
    <w:rsid w:val="0041446A"/>
    <w:rsid w:val="004144B6"/>
    <w:rsid w:val="00421C29"/>
    <w:rsid w:val="00433A72"/>
    <w:rsid w:val="0044179C"/>
    <w:rsid w:val="00453293"/>
    <w:rsid w:val="0046263E"/>
    <w:rsid w:val="00471B0C"/>
    <w:rsid w:val="00476947"/>
    <w:rsid w:val="004B303A"/>
    <w:rsid w:val="004F6746"/>
    <w:rsid w:val="005038EA"/>
    <w:rsid w:val="00516B06"/>
    <w:rsid w:val="00522930"/>
    <w:rsid w:val="0052529C"/>
    <w:rsid w:val="00535E8F"/>
    <w:rsid w:val="00545A65"/>
    <w:rsid w:val="00555321"/>
    <w:rsid w:val="005657D8"/>
    <w:rsid w:val="005E16D7"/>
    <w:rsid w:val="005F02A1"/>
    <w:rsid w:val="005F0E5F"/>
    <w:rsid w:val="0060140B"/>
    <w:rsid w:val="006033E8"/>
    <w:rsid w:val="00620A45"/>
    <w:rsid w:val="0062510E"/>
    <w:rsid w:val="00635DB0"/>
    <w:rsid w:val="0064768B"/>
    <w:rsid w:val="006619CC"/>
    <w:rsid w:val="006A09F0"/>
    <w:rsid w:val="006A74C2"/>
    <w:rsid w:val="006C652C"/>
    <w:rsid w:val="006E2656"/>
    <w:rsid w:val="006F67F4"/>
    <w:rsid w:val="00701E65"/>
    <w:rsid w:val="00704B1F"/>
    <w:rsid w:val="007205B4"/>
    <w:rsid w:val="0072791E"/>
    <w:rsid w:val="00727A24"/>
    <w:rsid w:val="007300ED"/>
    <w:rsid w:val="00741B27"/>
    <w:rsid w:val="007447A2"/>
    <w:rsid w:val="00762973"/>
    <w:rsid w:val="007650AC"/>
    <w:rsid w:val="007704B3"/>
    <w:rsid w:val="00787387"/>
    <w:rsid w:val="0079523D"/>
    <w:rsid w:val="00795831"/>
    <w:rsid w:val="007A3A1C"/>
    <w:rsid w:val="007C2285"/>
    <w:rsid w:val="007C524A"/>
    <w:rsid w:val="007D1CF1"/>
    <w:rsid w:val="007D7DE7"/>
    <w:rsid w:val="007E025A"/>
    <w:rsid w:val="007E6D53"/>
    <w:rsid w:val="007E73B8"/>
    <w:rsid w:val="008460BC"/>
    <w:rsid w:val="00852665"/>
    <w:rsid w:val="00855888"/>
    <w:rsid w:val="0086698D"/>
    <w:rsid w:val="00883644"/>
    <w:rsid w:val="0089445A"/>
    <w:rsid w:val="008A09D1"/>
    <w:rsid w:val="008A195C"/>
    <w:rsid w:val="008A5B45"/>
    <w:rsid w:val="008B21E1"/>
    <w:rsid w:val="008B73B1"/>
    <w:rsid w:val="008C1026"/>
    <w:rsid w:val="008C495E"/>
    <w:rsid w:val="008E3F0D"/>
    <w:rsid w:val="009024D3"/>
    <w:rsid w:val="00903BE8"/>
    <w:rsid w:val="00911273"/>
    <w:rsid w:val="009126E5"/>
    <w:rsid w:val="00930B84"/>
    <w:rsid w:val="009456DB"/>
    <w:rsid w:val="00973C44"/>
    <w:rsid w:val="00986FA5"/>
    <w:rsid w:val="009C558C"/>
    <w:rsid w:val="009D04DE"/>
    <w:rsid w:val="009D3C56"/>
    <w:rsid w:val="009E65D0"/>
    <w:rsid w:val="00A214C1"/>
    <w:rsid w:val="00A24803"/>
    <w:rsid w:val="00A32D10"/>
    <w:rsid w:val="00A665D9"/>
    <w:rsid w:val="00A75FD2"/>
    <w:rsid w:val="00AD2437"/>
    <w:rsid w:val="00AD7CE3"/>
    <w:rsid w:val="00AE151E"/>
    <w:rsid w:val="00B204DD"/>
    <w:rsid w:val="00B2308A"/>
    <w:rsid w:val="00B235B0"/>
    <w:rsid w:val="00B47E8B"/>
    <w:rsid w:val="00B65B2E"/>
    <w:rsid w:val="00B728F7"/>
    <w:rsid w:val="00B80838"/>
    <w:rsid w:val="00B83A65"/>
    <w:rsid w:val="00B840A9"/>
    <w:rsid w:val="00B87C4A"/>
    <w:rsid w:val="00BC0189"/>
    <w:rsid w:val="00BC03CE"/>
    <w:rsid w:val="00BD2B11"/>
    <w:rsid w:val="00BE44F4"/>
    <w:rsid w:val="00BF3553"/>
    <w:rsid w:val="00C0278F"/>
    <w:rsid w:val="00C02E80"/>
    <w:rsid w:val="00C063C7"/>
    <w:rsid w:val="00C10532"/>
    <w:rsid w:val="00C14D4B"/>
    <w:rsid w:val="00C31711"/>
    <w:rsid w:val="00C33829"/>
    <w:rsid w:val="00C40E8D"/>
    <w:rsid w:val="00C621AD"/>
    <w:rsid w:val="00C8517F"/>
    <w:rsid w:val="00C8536E"/>
    <w:rsid w:val="00C90F5E"/>
    <w:rsid w:val="00CA1508"/>
    <w:rsid w:val="00CA32B3"/>
    <w:rsid w:val="00CB2B67"/>
    <w:rsid w:val="00CC3E83"/>
    <w:rsid w:val="00CC7758"/>
    <w:rsid w:val="00CE4D84"/>
    <w:rsid w:val="00CE73BE"/>
    <w:rsid w:val="00CF69D1"/>
    <w:rsid w:val="00CF79AF"/>
    <w:rsid w:val="00D03CAB"/>
    <w:rsid w:val="00D11CB4"/>
    <w:rsid w:val="00D11E26"/>
    <w:rsid w:val="00D20133"/>
    <w:rsid w:val="00D4113B"/>
    <w:rsid w:val="00D5098A"/>
    <w:rsid w:val="00D50C00"/>
    <w:rsid w:val="00D569AA"/>
    <w:rsid w:val="00D67100"/>
    <w:rsid w:val="00D721EE"/>
    <w:rsid w:val="00D93881"/>
    <w:rsid w:val="00DC65CA"/>
    <w:rsid w:val="00DC686F"/>
    <w:rsid w:val="00DF5B05"/>
    <w:rsid w:val="00DF6D97"/>
    <w:rsid w:val="00E04296"/>
    <w:rsid w:val="00E232BB"/>
    <w:rsid w:val="00E32B6F"/>
    <w:rsid w:val="00E33C26"/>
    <w:rsid w:val="00E41403"/>
    <w:rsid w:val="00E428FC"/>
    <w:rsid w:val="00E47419"/>
    <w:rsid w:val="00E50219"/>
    <w:rsid w:val="00E51075"/>
    <w:rsid w:val="00E61834"/>
    <w:rsid w:val="00E65256"/>
    <w:rsid w:val="00E72468"/>
    <w:rsid w:val="00E90CA0"/>
    <w:rsid w:val="00E93BEA"/>
    <w:rsid w:val="00EA68D3"/>
    <w:rsid w:val="00EC1693"/>
    <w:rsid w:val="00ED29D0"/>
    <w:rsid w:val="00EE4C8C"/>
    <w:rsid w:val="00F02218"/>
    <w:rsid w:val="00F11106"/>
    <w:rsid w:val="00F449AA"/>
    <w:rsid w:val="00F60155"/>
    <w:rsid w:val="00F61B14"/>
    <w:rsid w:val="00F64076"/>
    <w:rsid w:val="00F8691D"/>
    <w:rsid w:val="00F9359C"/>
    <w:rsid w:val="00F9504B"/>
    <w:rsid w:val="00FC6B1D"/>
    <w:rsid w:val="00FF7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C08B2D1-48C3-46FC-9794-1B1D1704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811942926">
      <w:bodyDiv w:val="1"/>
      <w:marLeft w:val="0"/>
      <w:marRight w:val="0"/>
      <w:marTop w:val="0"/>
      <w:marBottom w:val="0"/>
      <w:divBdr>
        <w:top w:val="none" w:sz="0" w:space="0" w:color="auto"/>
        <w:left w:val="none" w:sz="0" w:space="0" w:color="auto"/>
        <w:bottom w:val="none" w:sz="0" w:space="0" w:color="auto"/>
        <w:right w:val="none" w:sz="0" w:space="0" w:color="auto"/>
      </w:divBdr>
      <w:divsChild>
        <w:div w:id="800726927">
          <w:marLeft w:val="0"/>
          <w:marRight w:val="0"/>
          <w:marTop w:val="0"/>
          <w:marBottom w:val="0"/>
          <w:divBdr>
            <w:top w:val="none" w:sz="0" w:space="0" w:color="auto"/>
            <w:left w:val="none" w:sz="0" w:space="0" w:color="auto"/>
            <w:bottom w:val="none" w:sz="0" w:space="0" w:color="auto"/>
            <w:right w:val="none" w:sz="0" w:space="0" w:color="auto"/>
          </w:divBdr>
        </w:div>
        <w:div w:id="1155149948">
          <w:marLeft w:val="0"/>
          <w:marRight w:val="0"/>
          <w:marTop w:val="0"/>
          <w:marBottom w:val="0"/>
          <w:divBdr>
            <w:top w:val="none" w:sz="0" w:space="0" w:color="auto"/>
            <w:left w:val="none" w:sz="0" w:space="0" w:color="auto"/>
            <w:bottom w:val="none" w:sz="0" w:space="0" w:color="auto"/>
            <w:right w:val="none" w:sz="0" w:space="0" w:color="auto"/>
          </w:divBdr>
        </w:div>
        <w:div w:id="293371073">
          <w:marLeft w:val="0"/>
          <w:marRight w:val="0"/>
          <w:marTop w:val="0"/>
          <w:marBottom w:val="0"/>
          <w:divBdr>
            <w:top w:val="none" w:sz="0" w:space="0" w:color="auto"/>
            <w:left w:val="none" w:sz="0" w:space="0" w:color="auto"/>
            <w:bottom w:val="none" w:sz="0" w:space="0" w:color="auto"/>
            <w:right w:val="none" w:sz="0" w:space="0" w:color="auto"/>
          </w:divBdr>
        </w:div>
      </w:divsChild>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15443678">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6E90E-BEC2-40E3-9139-6D024069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3058</Words>
  <Characters>18352</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Sylwia Gacek</cp:lastModifiedBy>
  <cp:revision>23</cp:revision>
  <cp:lastPrinted>2016-08-08T06:22:00Z</cp:lastPrinted>
  <dcterms:created xsi:type="dcterms:W3CDTF">2018-06-29T10:54:00Z</dcterms:created>
  <dcterms:modified xsi:type="dcterms:W3CDTF">2021-01-11T11:06:00Z</dcterms:modified>
</cp:coreProperties>
</file>