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A3" w:rsidRPr="00E1770B" w:rsidRDefault="006C004F" w:rsidP="00F977A7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255CE1">
        <w:rPr>
          <w:rFonts w:asciiTheme="minorHAnsi" w:hAnsiTheme="minorHAnsi"/>
          <w:b/>
          <w:bCs/>
          <w:color w:val="auto"/>
        </w:rPr>
        <w:t>2112/VI/20</w:t>
      </w:r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6B5722" w:rsidRDefault="006C004F" w:rsidP="00BB5C0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255CE1">
        <w:rPr>
          <w:rFonts w:asciiTheme="minorHAnsi" w:hAnsiTheme="minorHAnsi"/>
          <w:b/>
          <w:bCs/>
          <w:color w:val="auto"/>
        </w:rPr>
        <w:t>19 maja 2020 r.</w:t>
      </w:r>
      <w:bookmarkStart w:id="0" w:name="_GoBack"/>
      <w:bookmarkEnd w:id="0"/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1F47C0">
        <w:rPr>
          <w:sz w:val="24"/>
          <w:szCs w:val="24"/>
        </w:rPr>
        <w:t>20</w:t>
      </w:r>
      <w:r w:rsidR="00BB5C05">
        <w:rPr>
          <w:sz w:val="24"/>
          <w:szCs w:val="24"/>
        </w:rPr>
        <w:t>56</w:t>
      </w:r>
      <w:r w:rsidRPr="00087F88">
        <w:rPr>
          <w:sz w:val="24"/>
          <w:szCs w:val="24"/>
        </w:rPr>
        <w:t>/VI/</w:t>
      </w:r>
      <w:r w:rsidR="00DE7C5F" w:rsidRPr="00087F88">
        <w:rPr>
          <w:sz w:val="24"/>
          <w:szCs w:val="24"/>
        </w:rPr>
        <w:t>20</w:t>
      </w:r>
      <w:r w:rsidRPr="00E3299B">
        <w:rPr>
          <w:sz w:val="24"/>
          <w:szCs w:val="24"/>
        </w:rPr>
        <w:t xml:space="preserve"> Zarządu</w:t>
      </w:r>
      <w:r w:rsidRPr="006F126E">
        <w:rPr>
          <w:sz w:val="24"/>
          <w:szCs w:val="24"/>
        </w:rPr>
        <w:t xml:space="preserve"> Województwa Dolnośląskiego z dnia </w:t>
      </w:r>
      <w:r w:rsidR="00BB5C05">
        <w:rPr>
          <w:sz w:val="24"/>
          <w:szCs w:val="24"/>
        </w:rPr>
        <w:t>27</w:t>
      </w:r>
      <w:r w:rsidR="001F47C0">
        <w:rPr>
          <w:sz w:val="24"/>
          <w:szCs w:val="24"/>
        </w:rPr>
        <w:t> kwietnia</w:t>
      </w:r>
      <w:r w:rsidR="00BC0A74">
        <w:rPr>
          <w:sz w:val="24"/>
          <w:szCs w:val="24"/>
        </w:rPr>
        <w:t xml:space="preserve"> </w:t>
      </w:r>
      <w:r w:rsidR="00DE7C5F">
        <w:rPr>
          <w:sz w:val="24"/>
          <w:szCs w:val="24"/>
        </w:rPr>
        <w:t>2020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t>UZASADNIENIE</w:t>
      </w:r>
    </w:p>
    <w:p w:rsidR="00B81E96" w:rsidRPr="00AF7E4E" w:rsidRDefault="00EC5962" w:rsidP="00F977A7">
      <w:pPr>
        <w:pStyle w:val="CommentText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1F47C0">
        <w:rPr>
          <w:sz w:val="24"/>
          <w:szCs w:val="24"/>
        </w:rPr>
        <w:t>20</w:t>
      </w:r>
      <w:r w:rsidR="00BB5C05">
        <w:rPr>
          <w:sz w:val="24"/>
          <w:szCs w:val="24"/>
        </w:rPr>
        <w:t>56</w:t>
      </w:r>
      <w:r w:rsidR="00424CCB" w:rsidRPr="00087F88">
        <w:rPr>
          <w:color w:val="000000"/>
          <w:sz w:val="24"/>
          <w:szCs w:val="24"/>
        </w:rPr>
        <w:t>/V</w:t>
      </w:r>
      <w:r w:rsidR="00C628AF" w:rsidRPr="00087F88">
        <w:rPr>
          <w:color w:val="000000"/>
          <w:sz w:val="24"/>
          <w:szCs w:val="24"/>
        </w:rPr>
        <w:t>I</w:t>
      </w:r>
      <w:r w:rsidR="00424CCB" w:rsidRPr="00087F88">
        <w:rPr>
          <w:color w:val="000000"/>
          <w:sz w:val="24"/>
          <w:szCs w:val="24"/>
        </w:rPr>
        <w:t>/</w:t>
      </w:r>
      <w:r w:rsidR="00DE7C5F" w:rsidRPr="00087F88">
        <w:rPr>
          <w:color w:val="000000"/>
          <w:sz w:val="24"/>
          <w:szCs w:val="24"/>
        </w:rPr>
        <w:t>20</w:t>
      </w:r>
      <w:r w:rsidR="007D0102" w:rsidRPr="00673660">
        <w:rPr>
          <w:color w:val="000000"/>
          <w:sz w:val="24"/>
          <w:szCs w:val="24"/>
        </w:rPr>
        <w:t xml:space="preserve"> </w:t>
      </w:r>
      <w:r w:rsidR="00591DD0" w:rsidRPr="00673660">
        <w:rPr>
          <w:color w:val="000000" w:themeColor="text1"/>
          <w:sz w:val="24"/>
          <w:szCs w:val="24"/>
        </w:rPr>
        <w:t xml:space="preserve">z dnia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BB5C05">
        <w:rPr>
          <w:color w:val="000000" w:themeColor="text1"/>
          <w:sz w:val="24"/>
          <w:szCs w:val="24"/>
        </w:rPr>
        <w:t>27</w:t>
      </w:r>
      <w:r w:rsidR="008963F3">
        <w:rPr>
          <w:color w:val="000000" w:themeColor="text1"/>
          <w:sz w:val="24"/>
          <w:szCs w:val="24"/>
        </w:rPr>
        <w:t xml:space="preserve"> </w:t>
      </w:r>
      <w:r w:rsidR="001F47C0">
        <w:rPr>
          <w:color w:val="000000" w:themeColor="text1"/>
          <w:sz w:val="24"/>
          <w:szCs w:val="24"/>
        </w:rPr>
        <w:t>kwietnia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F04" w:rsidRDefault="00604F04" w:rsidP="00F839BC">
      <w:pPr>
        <w:spacing w:after="0" w:line="240" w:lineRule="auto"/>
      </w:pPr>
      <w:r>
        <w:separator/>
      </w:r>
    </w:p>
  </w:endnote>
  <w:endnote w:type="continuationSeparator" w:id="0">
    <w:p w:rsidR="00604F04" w:rsidRDefault="00604F04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48" w:rsidRDefault="00DE05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14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448" w:rsidRDefault="001514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F04" w:rsidRDefault="00604F04" w:rsidP="00F839BC">
      <w:pPr>
        <w:spacing w:after="0" w:line="240" w:lineRule="auto"/>
      </w:pPr>
      <w:r>
        <w:separator/>
      </w:r>
    </w:p>
  </w:footnote>
  <w:footnote w:type="continuationSeparator" w:id="0">
    <w:p w:rsidR="00604F04" w:rsidRDefault="00604F04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1F47C0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5CE1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04F04"/>
    <w:rsid w:val="00621480"/>
    <w:rsid w:val="00627B0A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E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5C05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222C5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50B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44DE0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0743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977A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38C2"/>
  </w:style>
  <w:style w:type="paragraph" w:styleId="Title">
    <w:name w:val="Title"/>
    <w:basedOn w:val="Normal"/>
    <w:link w:val="TitleChar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1B71"/>
    <w:rPr>
      <w:rFonts w:ascii="Arial" w:hAnsi="Arial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0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07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22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F4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23F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76A38-3CC7-48E1-988E-AC32A63DA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Zach Ar</cp:lastModifiedBy>
  <cp:revision>2</cp:revision>
  <cp:lastPrinted>2020-03-12T09:10:00Z</cp:lastPrinted>
  <dcterms:created xsi:type="dcterms:W3CDTF">2020-05-20T18:45:00Z</dcterms:created>
  <dcterms:modified xsi:type="dcterms:W3CDTF">2020-05-20T18:45:00Z</dcterms:modified>
</cp:coreProperties>
</file>